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37C2BB" w14:textId="77777777" w:rsidR="006E64A8" w:rsidRPr="005E11AA" w:rsidRDefault="006E64A8" w:rsidP="006E64A8">
      <w:pPr>
        <w:jc w:val="center"/>
        <w:rPr>
          <w:rFonts w:ascii="Arial" w:hAnsi="Arial" w:cs="Arial"/>
          <w:sz w:val="20"/>
          <w:szCs w:val="20"/>
          <w:lang w:val="pl-PL"/>
        </w:rPr>
      </w:pPr>
      <w:r w:rsidRPr="005E11AA">
        <w:rPr>
          <w:rFonts w:ascii="Arial" w:hAnsi="Arial" w:cs="Arial"/>
          <w:b/>
          <w:bCs/>
          <w:sz w:val="20"/>
          <w:szCs w:val="20"/>
          <w:lang w:val="pl-PL"/>
        </w:rPr>
        <w:t>Od hali produkcyjnej do przewagi konkurencyjnej. Dlaczego nowoczesny „</w:t>
      </w:r>
      <w:proofErr w:type="spellStart"/>
      <w:r w:rsidRPr="005E11AA">
        <w:rPr>
          <w:rFonts w:ascii="Arial" w:hAnsi="Arial" w:cs="Arial"/>
          <w:b/>
          <w:bCs/>
          <w:sz w:val="20"/>
          <w:szCs w:val="20"/>
          <w:lang w:val="pl-PL"/>
        </w:rPr>
        <w:t>Industrial</w:t>
      </w:r>
      <w:proofErr w:type="spellEnd"/>
      <w:r w:rsidRPr="005E11AA">
        <w:rPr>
          <w:rFonts w:ascii="Arial" w:hAnsi="Arial" w:cs="Arial"/>
          <w:b/>
          <w:bCs/>
          <w:sz w:val="20"/>
          <w:szCs w:val="20"/>
          <w:lang w:val="pl-PL"/>
        </w:rPr>
        <w:t xml:space="preserve"> </w:t>
      </w:r>
      <w:proofErr w:type="spellStart"/>
      <w:r w:rsidRPr="005E11AA">
        <w:rPr>
          <w:rFonts w:ascii="Arial" w:hAnsi="Arial" w:cs="Arial"/>
          <w:b/>
          <w:bCs/>
          <w:sz w:val="20"/>
          <w:szCs w:val="20"/>
          <w:lang w:val="pl-PL"/>
        </w:rPr>
        <w:t>Workplace</w:t>
      </w:r>
      <w:proofErr w:type="spellEnd"/>
      <w:r w:rsidRPr="005E11AA">
        <w:rPr>
          <w:rFonts w:ascii="Arial" w:hAnsi="Arial" w:cs="Arial"/>
          <w:b/>
          <w:bCs/>
          <w:sz w:val="20"/>
          <w:szCs w:val="20"/>
          <w:lang w:val="pl-PL"/>
        </w:rPr>
        <w:t>” to nowa waluta w walce o pracownika?</w:t>
      </w:r>
    </w:p>
    <w:p w14:paraId="2CB0A86B" w14:textId="77777777" w:rsidR="006E64A8" w:rsidRPr="005E11AA" w:rsidRDefault="006E64A8" w:rsidP="006E64A8">
      <w:pPr>
        <w:rPr>
          <w:rFonts w:ascii="Arial" w:hAnsi="Arial" w:cs="Arial"/>
          <w:b/>
          <w:bCs/>
          <w:sz w:val="20"/>
          <w:szCs w:val="20"/>
          <w:lang w:val="pl-PL"/>
        </w:rPr>
      </w:pPr>
    </w:p>
    <w:p w14:paraId="7928637A" w14:textId="62CE22E5" w:rsidR="006E64A8" w:rsidRPr="005E11AA" w:rsidRDefault="006E64A8" w:rsidP="006E64A8">
      <w:pPr>
        <w:jc w:val="both"/>
        <w:rPr>
          <w:rFonts w:ascii="Arial" w:hAnsi="Arial" w:cs="Arial"/>
          <w:b/>
          <w:bCs/>
          <w:sz w:val="20"/>
          <w:szCs w:val="20"/>
          <w:lang w:val="pl-PL"/>
        </w:rPr>
      </w:pPr>
      <w:r w:rsidRPr="005E11AA">
        <w:rPr>
          <w:rFonts w:ascii="Arial" w:hAnsi="Arial" w:cs="Arial"/>
          <w:b/>
          <w:bCs/>
          <w:sz w:val="20"/>
          <w:szCs w:val="20"/>
          <w:lang w:val="pl-PL"/>
        </w:rPr>
        <w:t>Do 2040 roku z polskiego rynku pracy ubędzie nawet 2 miliony osób w wieku produkcyjnym</w:t>
      </w:r>
      <w:r w:rsidR="00967C88" w:rsidRPr="005E11AA">
        <w:rPr>
          <w:rStyle w:val="FootnoteReference"/>
          <w:rFonts w:ascii="Arial" w:hAnsi="Arial" w:cs="Arial"/>
          <w:b/>
          <w:bCs/>
          <w:sz w:val="20"/>
          <w:szCs w:val="20"/>
          <w:lang w:val="pl-PL"/>
        </w:rPr>
        <w:footnoteReference w:id="1"/>
      </w:r>
      <w:r w:rsidRPr="005E11AA">
        <w:rPr>
          <w:rFonts w:ascii="Arial" w:hAnsi="Arial" w:cs="Arial"/>
          <w:b/>
          <w:bCs/>
          <w:sz w:val="20"/>
          <w:szCs w:val="20"/>
          <w:lang w:val="pl-PL"/>
        </w:rPr>
        <w:t>. Już teraz, jak pokazują dane PARP, blisko 60% firm w Polsce mierzy się z trudnościami rekrutacyjnymi</w:t>
      </w:r>
      <w:r w:rsidR="00967C88" w:rsidRPr="005E11AA">
        <w:rPr>
          <w:rStyle w:val="FootnoteReference"/>
          <w:rFonts w:ascii="Arial" w:hAnsi="Arial" w:cs="Arial"/>
          <w:b/>
          <w:bCs/>
          <w:sz w:val="20"/>
          <w:szCs w:val="20"/>
          <w:lang w:val="pl-PL"/>
        </w:rPr>
        <w:footnoteReference w:id="2"/>
      </w:r>
      <w:r w:rsidRPr="005E11AA">
        <w:rPr>
          <w:rFonts w:ascii="Arial" w:hAnsi="Arial" w:cs="Arial"/>
          <w:b/>
          <w:bCs/>
          <w:sz w:val="20"/>
          <w:szCs w:val="20"/>
          <w:lang w:val="pl-PL"/>
        </w:rPr>
        <w:t xml:space="preserve">, które z największą siłą uderzają w branżę produkcyjną i logistykę. Przy tak silnych niedoborach, wyzwaniem numer jeden dla biznesu nie jest już wyłącznie znalezienie pracownika, ale przede wszystkim utrzymanie doświadczonych zespołów. Odpowiedzią na tę presję przestaje być tylko wysokość wynagrodzenia. Jak pokazuje globalny raport </w:t>
      </w:r>
      <w:proofErr w:type="spellStart"/>
      <w:r w:rsidRPr="005E11AA">
        <w:rPr>
          <w:rFonts w:ascii="Arial" w:hAnsi="Arial" w:cs="Arial"/>
          <w:b/>
          <w:bCs/>
          <w:sz w:val="20"/>
          <w:szCs w:val="20"/>
          <w:lang w:val="pl-PL"/>
        </w:rPr>
        <w:t>Cushman</w:t>
      </w:r>
      <w:proofErr w:type="spellEnd"/>
      <w:r w:rsidRPr="005E11AA">
        <w:rPr>
          <w:rFonts w:ascii="Arial" w:hAnsi="Arial" w:cs="Arial"/>
          <w:b/>
          <w:bCs/>
          <w:sz w:val="20"/>
          <w:szCs w:val="20"/>
          <w:lang w:val="pl-PL"/>
        </w:rPr>
        <w:t xml:space="preserve"> &amp; Wakefield </w:t>
      </w:r>
      <w:r w:rsidRPr="005E11AA">
        <w:rPr>
          <w:rFonts w:ascii="Arial" w:hAnsi="Arial" w:cs="Arial"/>
          <w:b/>
          <w:bCs/>
          <w:i/>
          <w:iCs/>
          <w:sz w:val="20"/>
          <w:szCs w:val="20"/>
          <w:lang w:val="pl-PL"/>
        </w:rPr>
        <w:t>„</w:t>
      </w:r>
      <w:proofErr w:type="spellStart"/>
      <w:r w:rsidRPr="005E11AA">
        <w:rPr>
          <w:rFonts w:ascii="Arial" w:hAnsi="Arial" w:cs="Arial"/>
          <w:b/>
          <w:bCs/>
          <w:i/>
          <w:iCs/>
          <w:sz w:val="20"/>
          <w:szCs w:val="20"/>
          <w:lang w:val="pl-PL"/>
        </w:rPr>
        <w:t>REdefining</w:t>
      </w:r>
      <w:proofErr w:type="spellEnd"/>
      <w:r w:rsidRPr="005E11AA">
        <w:rPr>
          <w:rFonts w:ascii="Arial" w:hAnsi="Arial" w:cs="Arial"/>
          <w:b/>
          <w:bCs/>
          <w:i/>
          <w:iCs/>
          <w:sz w:val="20"/>
          <w:szCs w:val="20"/>
          <w:lang w:val="pl-PL"/>
        </w:rPr>
        <w:t xml:space="preserve"> the </w:t>
      </w:r>
      <w:proofErr w:type="spellStart"/>
      <w:r w:rsidRPr="005E11AA">
        <w:rPr>
          <w:rFonts w:ascii="Arial" w:hAnsi="Arial" w:cs="Arial"/>
          <w:b/>
          <w:bCs/>
          <w:i/>
          <w:iCs/>
          <w:sz w:val="20"/>
          <w:szCs w:val="20"/>
          <w:lang w:val="pl-PL"/>
        </w:rPr>
        <w:t>Industrial</w:t>
      </w:r>
      <w:proofErr w:type="spellEnd"/>
      <w:r w:rsidRPr="005E11AA">
        <w:rPr>
          <w:rFonts w:ascii="Arial" w:hAnsi="Arial" w:cs="Arial"/>
          <w:b/>
          <w:bCs/>
          <w:i/>
          <w:iCs/>
          <w:sz w:val="20"/>
          <w:szCs w:val="20"/>
          <w:lang w:val="pl-PL"/>
        </w:rPr>
        <w:t xml:space="preserve"> </w:t>
      </w:r>
      <w:proofErr w:type="spellStart"/>
      <w:r w:rsidRPr="005E11AA">
        <w:rPr>
          <w:rFonts w:ascii="Arial" w:hAnsi="Arial" w:cs="Arial"/>
          <w:b/>
          <w:bCs/>
          <w:i/>
          <w:iCs/>
          <w:sz w:val="20"/>
          <w:szCs w:val="20"/>
          <w:lang w:val="pl-PL"/>
        </w:rPr>
        <w:t>Workplace</w:t>
      </w:r>
      <w:proofErr w:type="spellEnd"/>
      <w:r w:rsidRPr="005E11AA">
        <w:rPr>
          <w:rFonts w:ascii="Arial" w:hAnsi="Arial" w:cs="Arial"/>
          <w:b/>
          <w:bCs/>
          <w:i/>
          <w:iCs/>
          <w:sz w:val="20"/>
          <w:szCs w:val="20"/>
          <w:lang w:val="pl-PL"/>
        </w:rPr>
        <w:t>”</w:t>
      </w:r>
      <w:r w:rsidRPr="005E11AA">
        <w:rPr>
          <w:rFonts w:ascii="Arial" w:hAnsi="Arial" w:cs="Arial"/>
          <w:b/>
          <w:bCs/>
          <w:sz w:val="20"/>
          <w:szCs w:val="20"/>
          <w:lang w:val="pl-PL"/>
        </w:rPr>
        <w:t xml:space="preserve">, to właśnie przemyślana modernizacja i ergonomiczne środowisko pracy na hali magazynowej stają się dziś nową walutą w walce o talenty i przewagą konkurencyjną, która pozwala firmom </w:t>
      </w:r>
      <w:r w:rsidR="00967C88" w:rsidRPr="005E11AA">
        <w:rPr>
          <w:rFonts w:ascii="Arial" w:hAnsi="Arial" w:cs="Arial"/>
          <w:b/>
          <w:bCs/>
          <w:sz w:val="20"/>
          <w:szCs w:val="20"/>
          <w:lang w:val="pl-PL"/>
        </w:rPr>
        <w:t xml:space="preserve">sektora </w:t>
      </w:r>
      <w:proofErr w:type="spellStart"/>
      <w:r w:rsidR="00967C88" w:rsidRPr="005E11AA">
        <w:rPr>
          <w:rFonts w:ascii="Arial" w:hAnsi="Arial" w:cs="Arial"/>
          <w:b/>
          <w:bCs/>
          <w:sz w:val="20"/>
          <w:szCs w:val="20"/>
          <w:lang w:val="pl-PL"/>
        </w:rPr>
        <w:t>Industrial</w:t>
      </w:r>
      <w:proofErr w:type="spellEnd"/>
      <w:r w:rsidR="00967C88" w:rsidRPr="005E11AA">
        <w:rPr>
          <w:rFonts w:ascii="Arial" w:hAnsi="Arial" w:cs="Arial"/>
          <w:b/>
          <w:bCs/>
          <w:sz w:val="20"/>
          <w:szCs w:val="20"/>
          <w:lang w:val="pl-PL"/>
        </w:rPr>
        <w:t xml:space="preserve"> </w:t>
      </w:r>
      <w:r w:rsidRPr="005E11AA">
        <w:rPr>
          <w:rFonts w:ascii="Arial" w:hAnsi="Arial" w:cs="Arial"/>
          <w:b/>
          <w:bCs/>
          <w:sz w:val="20"/>
          <w:szCs w:val="20"/>
          <w:lang w:val="pl-PL"/>
        </w:rPr>
        <w:t>chronić ciągłość operacyjną</w:t>
      </w:r>
      <w:r w:rsidR="00967C88" w:rsidRPr="005E11AA">
        <w:rPr>
          <w:rFonts w:ascii="Arial" w:hAnsi="Arial" w:cs="Arial"/>
          <w:b/>
          <w:bCs/>
          <w:sz w:val="20"/>
          <w:szCs w:val="20"/>
          <w:lang w:val="pl-PL"/>
        </w:rPr>
        <w:t>.</w:t>
      </w:r>
    </w:p>
    <w:p w14:paraId="0FEC3661" w14:textId="77777777" w:rsidR="00967C88" w:rsidRPr="005E11AA" w:rsidRDefault="00967C88" w:rsidP="00967C88">
      <w:pPr>
        <w:jc w:val="both"/>
        <w:rPr>
          <w:rFonts w:ascii="Arial" w:hAnsi="Arial" w:cs="Arial"/>
          <w:b/>
          <w:bCs/>
          <w:sz w:val="20"/>
          <w:szCs w:val="20"/>
          <w:lang w:val="pl-PL"/>
        </w:rPr>
      </w:pPr>
    </w:p>
    <w:p w14:paraId="012A5BF8" w14:textId="0108F3A2" w:rsidR="00821088" w:rsidRPr="005E11AA" w:rsidRDefault="00821088" w:rsidP="00821088">
      <w:pPr>
        <w:jc w:val="both"/>
        <w:rPr>
          <w:rFonts w:ascii="Arial" w:hAnsi="Arial" w:cs="Arial"/>
          <w:b/>
          <w:bCs/>
          <w:sz w:val="20"/>
          <w:szCs w:val="20"/>
          <w:lang w:val="pl-PL"/>
        </w:rPr>
      </w:pPr>
      <w:r w:rsidRPr="005E11AA">
        <w:rPr>
          <w:rFonts w:ascii="Arial" w:hAnsi="Arial" w:cs="Arial"/>
          <w:b/>
          <w:bCs/>
          <w:sz w:val="20"/>
          <w:szCs w:val="20"/>
          <w:lang w:val="pl-PL"/>
        </w:rPr>
        <w:t>Koniec z fabrykami „tylko dla maszyn” – globalne diagnozy, lokalne wyzwania</w:t>
      </w:r>
    </w:p>
    <w:p w14:paraId="2BD8B349" w14:textId="77777777" w:rsidR="00821088" w:rsidRPr="005E11AA" w:rsidRDefault="00821088" w:rsidP="00821088">
      <w:pPr>
        <w:jc w:val="both"/>
        <w:rPr>
          <w:rFonts w:ascii="Arial" w:hAnsi="Arial" w:cs="Arial"/>
          <w:sz w:val="20"/>
          <w:szCs w:val="20"/>
          <w:lang w:val="pl-PL"/>
        </w:rPr>
      </w:pPr>
    </w:p>
    <w:p w14:paraId="5116DB1C" w14:textId="6A283B79" w:rsidR="00821088" w:rsidRPr="005E11AA" w:rsidRDefault="00821088" w:rsidP="00821088">
      <w:pPr>
        <w:jc w:val="both"/>
        <w:rPr>
          <w:rFonts w:ascii="Arial" w:hAnsi="Arial" w:cs="Arial"/>
          <w:sz w:val="20"/>
          <w:szCs w:val="20"/>
          <w:lang w:val="pl-PL"/>
        </w:rPr>
      </w:pPr>
      <w:r w:rsidRPr="005E11AA">
        <w:rPr>
          <w:rFonts w:ascii="Arial" w:hAnsi="Arial" w:cs="Arial"/>
          <w:sz w:val="20"/>
          <w:szCs w:val="20"/>
          <w:lang w:val="pl-PL"/>
        </w:rPr>
        <w:t xml:space="preserve">Historycznie na całym świecie obiekty przemysłowe i magazynowe projektowano wokół procesów technologicznych i maszyn. Przestrzenie przeznaczone dla ludzi traktowane były drugorzędnie. Skutki tego podejścia dobitnie obnażają globalne badania </w:t>
      </w:r>
      <w:proofErr w:type="spellStart"/>
      <w:r w:rsidRPr="005E11AA">
        <w:rPr>
          <w:rFonts w:ascii="Arial" w:hAnsi="Arial" w:cs="Arial"/>
          <w:sz w:val="20"/>
          <w:szCs w:val="20"/>
          <w:lang w:val="pl-PL"/>
        </w:rPr>
        <w:t>Cushman</w:t>
      </w:r>
      <w:proofErr w:type="spellEnd"/>
      <w:r w:rsidRPr="005E11AA">
        <w:rPr>
          <w:rFonts w:ascii="Arial" w:hAnsi="Arial" w:cs="Arial"/>
          <w:sz w:val="20"/>
          <w:szCs w:val="20"/>
          <w:lang w:val="pl-PL"/>
        </w:rPr>
        <w:t xml:space="preserve"> &amp; Wakefield </w:t>
      </w:r>
      <w:proofErr w:type="spellStart"/>
      <w:r w:rsidRPr="005E11AA">
        <w:rPr>
          <w:rFonts w:ascii="Arial" w:hAnsi="Arial" w:cs="Arial"/>
          <w:i/>
          <w:iCs/>
          <w:sz w:val="20"/>
          <w:szCs w:val="20"/>
          <w:lang w:val="pl-PL"/>
        </w:rPr>
        <w:t>Experience</w:t>
      </w:r>
      <w:proofErr w:type="spellEnd"/>
      <w:r w:rsidRPr="005E11AA">
        <w:rPr>
          <w:rFonts w:ascii="Arial" w:hAnsi="Arial" w:cs="Arial"/>
          <w:i/>
          <w:iCs/>
          <w:sz w:val="20"/>
          <w:szCs w:val="20"/>
          <w:lang w:val="pl-PL"/>
        </w:rPr>
        <w:t xml:space="preserve"> per </w:t>
      </w:r>
      <w:proofErr w:type="spellStart"/>
      <w:r w:rsidRPr="005E11AA">
        <w:rPr>
          <w:rFonts w:ascii="Arial" w:hAnsi="Arial" w:cs="Arial"/>
          <w:i/>
          <w:iCs/>
          <w:sz w:val="20"/>
          <w:szCs w:val="20"/>
          <w:lang w:val="pl-PL"/>
        </w:rPr>
        <w:t>Square</w:t>
      </w:r>
      <w:proofErr w:type="spellEnd"/>
      <w:r w:rsidRPr="005E11AA">
        <w:rPr>
          <w:rFonts w:ascii="Arial" w:hAnsi="Arial" w:cs="Arial"/>
          <w:i/>
          <w:iCs/>
          <w:sz w:val="20"/>
          <w:szCs w:val="20"/>
          <w:lang w:val="pl-PL"/>
        </w:rPr>
        <w:t xml:space="preserve"> </w:t>
      </w:r>
      <w:proofErr w:type="spellStart"/>
      <w:r w:rsidRPr="005E11AA">
        <w:rPr>
          <w:rFonts w:ascii="Arial" w:hAnsi="Arial" w:cs="Arial"/>
          <w:i/>
          <w:iCs/>
          <w:sz w:val="20"/>
          <w:szCs w:val="20"/>
          <w:lang w:val="pl-PL"/>
        </w:rPr>
        <w:t>Foot</w:t>
      </w:r>
      <w:proofErr w:type="spellEnd"/>
      <w:r w:rsidRPr="005E11AA">
        <w:rPr>
          <w:rFonts w:ascii="Arial" w:hAnsi="Arial" w:cs="Arial"/>
          <w:i/>
          <w:iCs/>
          <w:sz w:val="20"/>
          <w:szCs w:val="20"/>
          <w:lang w:val="pl-PL"/>
        </w:rPr>
        <w:t>™ (XSF)</w:t>
      </w:r>
      <w:r w:rsidRPr="005E11AA">
        <w:rPr>
          <w:rFonts w:ascii="Arial" w:hAnsi="Arial" w:cs="Arial"/>
          <w:sz w:val="20"/>
          <w:szCs w:val="20"/>
          <w:lang w:val="pl-PL"/>
        </w:rPr>
        <w:t xml:space="preserve">. Pokazują one, że zaledwie 46% pracowników produkcji pozytywnie ocenia swoje środowisko pracy. To wynik aż o 25 punktów procentowych niższy niż globalny benchmark dla ogółu rynków i o 13 punktów niższy niż w przypadku pracowników biurowych. </w:t>
      </w:r>
    </w:p>
    <w:p w14:paraId="24FE55CE" w14:textId="77777777" w:rsidR="00821088" w:rsidRPr="005E11AA" w:rsidRDefault="00821088" w:rsidP="00821088">
      <w:pPr>
        <w:jc w:val="both"/>
        <w:rPr>
          <w:rFonts w:ascii="Arial" w:hAnsi="Arial" w:cs="Arial"/>
          <w:sz w:val="20"/>
          <w:szCs w:val="20"/>
          <w:lang w:val="pl-PL"/>
        </w:rPr>
      </w:pPr>
    </w:p>
    <w:p w14:paraId="74E0ACD8" w14:textId="51331156" w:rsidR="00821088" w:rsidRPr="005E11AA" w:rsidRDefault="00821088" w:rsidP="00821088">
      <w:pPr>
        <w:jc w:val="both"/>
        <w:rPr>
          <w:rFonts w:ascii="Arial" w:hAnsi="Arial" w:cs="Arial"/>
          <w:sz w:val="20"/>
          <w:szCs w:val="20"/>
          <w:lang w:val="pl-PL"/>
        </w:rPr>
      </w:pPr>
      <w:r w:rsidRPr="005E11AA">
        <w:rPr>
          <w:rFonts w:ascii="Arial" w:hAnsi="Arial" w:cs="Arial"/>
          <w:sz w:val="20"/>
          <w:szCs w:val="20"/>
          <w:lang w:val="pl-PL"/>
        </w:rPr>
        <w:t xml:space="preserve">Zarówno na rynkach zachodnich, jak i w Polsce, kluczowym problemem rzutującym na retencję jest tzw. „podwójny standard”. Podczas gdy biura </w:t>
      </w:r>
      <w:proofErr w:type="spellStart"/>
      <w:r w:rsidRPr="005E11AA">
        <w:rPr>
          <w:rFonts w:ascii="Arial" w:hAnsi="Arial" w:cs="Arial"/>
          <w:sz w:val="20"/>
          <w:szCs w:val="20"/>
          <w:lang w:val="pl-PL"/>
        </w:rPr>
        <w:t>przyprodukcyjne</w:t>
      </w:r>
      <w:proofErr w:type="spellEnd"/>
      <w:r w:rsidRPr="005E11AA">
        <w:rPr>
          <w:rFonts w:ascii="Arial" w:hAnsi="Arial" w:cs="Arial"/>
          <w:sz w:val="20"/>
          <w:szCs w:val="20"/>
          <w:lang w:val="pl-PL"/>
        </w:rPr>
        <w:t xml:space="preserve"> oferują </w:t>
      </w:r>
      <w:r w:rsidR="005E11AA" w:rsidRPr="005E11AA">
        <w:rPr>
          <w:rFonts w:ascii="Arial" w:hAnsi="Arial" w:cs="Arial"/>
          <w:sz w:val="20"/>
          <w:szCs w:val="20"/>
          <w:lang w:val="pl-PL"/>
        </w:rPr>
        <w:t>dostęp do dziennego światła</w:t>
      </w:r>
      <w:r w:rsidR="005E11AA" w:rsidRPr="005E11AA">
        <w:rPr>
          <w:rFonts w:ascii="Arial" w:hAnsi="Arial" w:cs="Arial"/>
          <w:sz w:val="20"/>
          <w:szCs w:val="20"/>
          <w:lang w:val="pl-PL"/>
        </w:rPr>
        <w:t xml:space="preserve"> i </w:t>
      </w:r>
      <w:r w:rsidR="005E11AA" w:rsidRPr="005E11AA">
        <w:rPr>
          <w:rFonts w:ascii="Arial" w:hAnsi="Arial" w:cs="Arial"/>
          <w:sz w:val="20"/>
          <w:szCs w:val="20"/>
          <w:lang w:val="pl-PL"/>
        </w:rPr>
        <w:t xml:space="preserve">często </w:t>
      </w:r>
      <w:r w:rsidRPr="005E11AA">
        <w:rPr>
          <w:rFonts w:ascii="Arial" w:hAnsi="Arial" w:cs="Arial"/>
          <w:sz w:val="20"/>
          <w:szCs w:val="20"/>
          <w:lang w:val="pl-PL"/>
        </w:rPr>
        <w:t>doskonałe wykończenie, strefy dla operatorów i pracowników magazynowych pozostają surowe i wyłącznie funkcjonalne, co</w:t>
      </w:r>
      <w:r w:rsidR="005E11AA" w:rsidRPr="005E11AA">
        <w:rPr>
          <w:rFonts w:ascii="Arial" w:hAnsi="Arial" w:cs="Arial"/>
          <w:sz w:val="20"/>
          <w:szCs w:val="20"/>
          <w:lang w:val="pl-PL"/>
        </w:rPr>
        <w:t xml:space="preserve"> może</w:t>
      </w:r>
      <w:r w:rsidRPr="005E11AA">
        <w:rPr>
          <w:rFonts w:ascii="Arial" w:hAnsi="Arial" w:cs="Arial"/>
          <w:sz w:val="20"/>
          <w:szCs w:val="20"/>
          <w:lang w:val="pl-PL"/>
        </w:rPr>
        <w:t xml:space="preserve"> pogłębi</w:t>
      </w:r>
      <w:r w:rsidR="005E11AA" w:rsidRPr="005E11AA">
        <w:rPr>
          <w:rFonts w:ascii="Arial" w:hAnsi="Arial" w:cs="Arial"/>
          <w:sz w:val="20"/>
          <w:szCs w:val="20"/>
          <w:lang w:val="pl-PL"/>
        </w:rPr>
        <w:t>ać</w:t>
      </w:r>
      <w:r w:rsidRPr="005E11AA">
        <w:rPr>
          <w:rFonts w:ascii="Arial" w:hAnsi="Arial" w:cs="Arial"/>
          <w:sz w:val="20"/>
          <w:szCs w:val="20"/>
          <w:lang w:val="pl-PL"/>
        </w:rPr>
        <w:t xml:space="preserve"> poczucie hierarchii i znacząco obniża morale. </w:t>
      </w:r>
    </w:p>
    <w:p w14:paraId="2DD0ECD0" w14:textId="77777777" w:rsidR="00821088" w:rsidRPr="005E11AA" w:rsidRDefault="00821088" w:rsidP="00821088">
      <w:pPr>
        <w:jc w:val="both"/>
        <w:rPr>
          <w:rFonts w:ascii="Arial" w:hAnsi="Arial" w:cs="Arial"/>
          <w:sz w:val="20"/>
          <w:szCs w:val="20"/>
          <w:lang w:val="pl-PL"/>
        </w:rPr>
      </w:pPr>
    </w:p>
    <w:p w14:paraId="6A53C072" w14:textId="4319B124" w:rsidR="00821088" w:rsidRPr="005E11AA" w:rsidRDefault="00821088" w:rsidP="00821088">
      <w:pPr>
        <w:jc w:val="both"/>
        <w:rPr>
          <w:rFonts w:ascii="Arial" w:hAnsi="Arial" w:cs="Arial"/>
          <w:sz w:val="20"/>
          <w:szCs w:val="20"/>
          <w:lang w:val="pl-PL"/>
        </w:rPr>
      </w:pPr>
      <w:r w:rsidRPr="005E11AA">
        <w:rPr>
          <w:rFonts w:ascii="Arial" w:hAnsi="Arial" w:cs="Arial"/>
          <w:sz w:val="20"/>
          <w:szCs w:val="20"/>
          <w:lang w:val="pl-PL"/>
        </w:rPr>
        <w:t xml:space="preserve">Rozwiązaniem tego problemu jest koncepcja </w:t>
      </w:r>
      <w:proofErr w:type="spellStart"/>
      <w:r w:rsidRPr="005E11AA">
        <w:rPr>
          <w:rFonts w:ascii="Arial" w:hAnsi="Arial" w:cs="Arial"/>
          <w:i/>
          <w:iCs/>
          <w:sz w:val="20"/>
          <w:szCs w:val="20"/>
          <w:lang w:val="pl-PL"/>
        </w:rPr>
        <w:t>Experience-Based</w:t>
      </w:r>
      <w:proofErr w:type="spellEnd"/>
      <w:r w:rsidRPr="005E11AA">
        <w:rPr>
          <w:rFonts w:ascii="Arial" w:hAnsi="Arial" w:cs="Arial"/>
          <w:i/>
          <w:iCs/>
          <w:sz w:val="20"/>
          <w:szCs w:val="20"/>
          <w:lang w:val="pl-PL"/>
        </w:rPr>
        <w:t xml:space="preserve"> </w:t>
      </w:r>
      <w:proofErr w:type="spellStart"/>
      <w:r w:rsidRPr="005E11AA">
        <w:rPr>
          <w:rFonts w:ascii="Arial" w:hAnsi="Arial" w:cs="Arial"/>
          <w:i/>
          <w:iCs/>
          <w:sz w:val="20"/>
          <w:szCs w:val="20"/>
          <w:lang w:val="pl-PL"/>
        </w:rPr>
        <w:t>Working</w:t>
      </w:r>
      <w:proofErr w:type="spellEnd"/>
      <w:r w:rsidRPr="005E11AA">
        <w:rPr>
          <w:rFonts w:ascii="Arial" w:hAnsi="Arial" w:cs="Arial"/>
          <w:i/>
          <w:iCs/>
          <w:sz w:val="20"/>
          <w:szCs w:val="20"/>
          <w:lang w:val="pl-PL"/>
        </w:rPr>
        <w:t xml:space="preserve"> (EBW)</w:t>
      </w:r>
      <w:r w:rsidRPr="005E11AA">
        <w:rPr>
          <w:rFonts w:ascii="Arial" w:hAnsi="Arial" w:cs="Arial"/>
          <w:sz w:val="20"/>
          <w:szCs w:val="20"/>
          <w:lang w:val="pl-PL"/>
        </w:rPr>
        <w:t xml:space="preserve">, adaptowana do środowiska przemysłowego. Zakłada ona projektowanie oparte na realnych potrzebach trzech kluczowych person: operatora zmianowego, lidera/kontrolera jakości oraz menedżera obiektu. Każda z tych grup wymaga zupełnie innego podejścia do akustyki, miejsc spotkań czy stref regeneracji. </w:t>
      </w:r>
    </w:p>
    <w:p w14:paraId="5DFFAF78" w14:textId="77777777" w:rsidR="00821088" w:rsidRPr="005E11AA" w:rsidRDefault="00821088" w:rsidP="00821088">
      <w:pPr>
        <w:jc w:val="both"/>
        <w:rPr>
          <w:rFonts w:ascii="Arial" w:hAnsi="Arial" w:cs="Arial"/>
          <w:sz w:val="20"/>
          <w:szCs w:val="20"/>
          <w:lang w:val="pl-PL"/>
        </w:rPr>
      </w:pPr>
    </w:p>
    <w:p w14:paraId="2A0AB77F" w14:textId="228EEEAA" w:rsidR="00821088" w:rsidRPr="005E11AA" w:rsidRDefault="00821088" w:rsidP="00821088">
      <w:pPr>
        <w:jc w:val="both"/>
        <w:rPr>
          <w:rFonts w:ascii="Arial" w:hAnsi="Arial" w:cs="Arial"/>
          <w:b/>
          <w:bCs/>
          <w:sz w:val="20"/>
          <w:szCs w:val="20"/>
          <w:lang w:val="pl-PL"/>
        </w:rPr>
      </w:pPr>
      <w:r w:rsidRPr="005E11AA">
        <w:rPr>
          <w:rFonts w:ascii="Arial" w:hAnsi="Arial" w:cs="Arial"/>
          <w:b/>
          <w:bCs/>
          <w:sz w:val="20"/>
          <w:szCs w:val="20"/>
          <w:lang w:val="pl-PL"/>
        </w:rPr>
        <w:t>Mądra modernizacja oparta na danych – koszty z USA a polskie realia</w:t>
      </w:r>
    </w:p>
    <w:p w14:paraId="5FF23F8A" w14:textId="77777777" w:rsidR="00821088" w:rsidRPr="005E11AA" w:rsidRDefault="00821088" w:rsidP="00821088">
      <w:pPr>
        <w:jc w:val="both"/>
        <w:rPr>
          <w:rFonts w:ascii="Arial" w:hAnsi="Arial" w:cs="Arial"/>
          <w:sz w:val="20"/>
          <w:szCs w:val="20"/>
          <w:lang w:val="pl-PL"/>
        </w:rPr>
      </w:pPr>
    </w:p>
    <w:p w14:paraId="782E540E" w14:textId="4B48AE43" w:rsidR="00821088" w:rsidRPr="005E11AA" w:rsidRDefault="00821088" w:rsidP="00821088">
      <w:pPr>
        <w:jc w:val="both"/>
        <w:rPr>
          <w:rFonts w:ascii="Arial" w:hAnsi="Arial" w:cs="Arial"/>
          <w:sz w:val="20"/>
          <w:szCs w:val="20"/>
          <w:lang w:val="pl-PL"/>
        </w:rPr>
      </w:pPr>
      <w:r w:rsidRPr="005E11AA">
        <w:rPr>
          <w:rFonts w:ascii="Arial" w:hAnsi="Arial" w:cs="Arial"/>
          <w:sz w:val="20"/>
          <w:szCs w:val="20"/>
          <w:lang w:val="pl-PL"/>
        </w:rPr>
        <w:t xml:space="preserve">Brak inwestycji w odpowiednie środowisko pracy generuje mierzalne straty. Jak pokazują dane z rynku amerykańskiego, zastąpienie wykwalifikowanego pracownika w przemyśle może kosztować firmę od połowy do nawet dwukrotności jego rocznej pensji, a sama rekrutacja trwa tam średnio aż 55 dni. Dodatkowo, globalne statystyki udowadniają, że wypalenie zawodowe aż 6-krotnie zwiększa ryzyko odejścia pracownika w ciągu zaledwie pół roku. </w:t>
      </w:r>
    </w:p>
    <w:p w14:paraId="6D75B762" w14:textId="77777777" w:rsidR="00821088" w:rsidRPr="005E11AA" w:rsidRDefault="00821088" w:rsidP="00821088">
      <w:pPr>
        <w:jc w:val="both"/>
        <w:rPr>
          <w:rFonts w:ascii="Arial" w:hAnsi="Arial" w:cs="Arial"/>
          <w:sz w:val="20"/>
          <w:szCs w:val="20"/>
          <w:lang w:val="pl-PL"/>
        </w:rPr>
      </w:pPr>
    </w:p>
    <w:p w14:paraId="245BA3E2" w14:textId="580915AC" w:rsidR="00821088" w:rsidRPr="005E11AA" w:rsidRDefault="00821088" w:rsidP="00821088">
      <w:pPr>
        <w:jc w:val="both"/>
        <w:rPr>
          <w:rFonts w:ascii="Arial" w:hAnsi="Arial" w:cs="Arial"/>
          <w:sz w:val="20"/>
          <w:szCs w:val="20"/>
          <w:lang w:val="pl-PL"/>
        </w:rPr>
      </w:pPr>
      <w:r w:rsidRPr="005E11AA">
        <w:rPr>
          <w:rFonts w:ascii="Arial" w:hAnsi="Arial" w:cs="Arial"/>
          <w:sz w:val="20"/>
          <w:szCs w:val="20"/>
          <w:lang w:val="pl-PL"/>
        </w:rPr>
        <w:t xml:space="preserve">Dla polskich firm, operujących na wysoce konkurencyjnym i kurczącym się demograficznie rynku pracy, te wskaźniki stanowią wyraźny sygnał ostrzegawczy. Poprawa doświadczeń załogi nie zawsze musi jednak oznaczać realizacji kosztownych, nowych inwestycji. </w:t>
      </w:r>
    </w:p>
    <w:p w14:paraId="6AAAE63F" w14:textId="32485D9E" w:rsidR="00821088" w:rsidRPr="005E11AA" w:rsidRDefault="00821088" w:rsidP="00821088">
      <w:pPr>
        <w:jc w:val="both"/>
        <w:rPr>
          <w:rFonts w:ascii="Arial" w:hAnsi="Arial" w:cs="Arial"/>
          <w:sz w:val="20"/>
          <w:szCs w:val="20"/>
          <w:lang w:val="pl-PL"/>
        </w:rPr>
      </w:pPr>
      <w:r w:rsidRPr="005E11AA">
        <w:rPr>
          <w:rFonts w:ascii="Arial" w:hAnsi="Arial" w:cs="Arial"/>
          <w:sz w:val="20"/>
          <w:szCs w:val="20"/>
          <w:lang w:val="pl-PL"/>
        </w:rPr>
        <w:t xml:space="preserve">Wg danych C&amp;W zgromadzonych w bazie XCF, spośród 40 możliwych kategorii inwestycji w miejsce pracy, zaledwie 8 do 10 ma realny, pozytywny wpływ na retencję i efektywność zatrudnionych. Aby uniknąć przepalania budżetów, kluczowe staje się celowane doradztwo techniczne i kosztowe. Często największą i najbardziej wymierną różnicę robi tzw. „naprawienie fundamentów” istniejących już zakładów: </w:t>
      </w:r>
    </w:p>
    <w:p w14:paraId="394FF43A" w14:textId="16158722" w:rsidR="00821088" w:rsidRPr="005E11AA" w:rsidRDefault="00821088" w:rsidP="00821088">
      <w:pPr>
        <w:numPr>
          <w:ilvl w:val="0"/>
          <w:numId w:val="3"/>
        </w:numPr>
        <w:jc w:val="both"/>
        <w:rPr>
          <w:rFonts w:ascii="Arial" w:hAnsi="Arial" w:cs="Arial"/>
          <w:sz w:val="20"/>
          <w:szCs w:val="20"/>
          <w:lang w:val="pl-PL"/>
        </w:rPr>
      </w:pPr>
      <w:r w:rsidRPr="005E11AA">
        <w:rPr>
          <w:rFonts w:ascii="Arial" w:hAnsi="Arial" w:cs="Arial"/>
          <w:b/>
          <w:bCs/>
          <w:sz w:val="20"/>
          <w:szCs w:val="20"/>
          <w:lang w:val="pl-PL"/>
        </w:rPr>
        <w:t>Dostęp do naturalnego światła</w:t>
      </w:r>
      <w:r w:rsidRPr="005E11AA">
        <w:rPr>
          <w:rFonts w:ascii="Arial" w:hAnsi="Arial" w:cs="Arial"/>
          <w:sz w:val="20"/>
          <w:szCs w:val="20"/>
          <w:lang w:val="pl-PL"/>
        </w:rPr>
        <w:t xml:space="preserve"> – instalacja świetlików dachowych to zaledwie ułamek kosztów automatyzacji procesów, a drastycznie podnosi produktywność i jakość snu pracowników. </w:t>
      </w:r>
    </w:p>
    <w:p w14:paraId="4B5919C7" w14:textId="6A109DC8" w:rsidR="00821088" w:rsidRPr="005E11AA" w:rsidRDefault="00821088" w:rsidP="00821088">
      <w:pPr>
        <w:numPr>
          <w:ilvl w:val="0"/>
          <w:numId w:val="3"/>
        </w:numPr>
        <w:jc w:val="both"/>
        <w:rPr>
          <w:rFonts w:ascii="Arial" w:hAnsi="Arial" w:cs="Arial"/>
          <w:sz w:val="20"/>
          <w:szCs w:val="20"/>
          <w:lang w:val="pl-PL"/>
        </w:rPr>
      </w:pPr>
      <w:r w:rsidRPr="005E11AA">
        <w:rPr>
          <w:rFonts w:ascii="Arial" w:hAnsi="Arial" w:cs="Arial"/>
          <w:b/>
          <w:bCs/>
          <w:sz w:val="20"/>
          <w:szCs w:val="20"/>
          <w:lang w:val="pl-PL"/>
        </w:rPr>
        <w:t>Nowoczesne zaplecze</w:t>
      </w:r>
      <w:r w:rsidRPr="005E11AA">
        <w:rPr>
          <w:rFonts w:ascii="Arial" w:hAnsi="Arial" w:cs="Arial"/>
          <w:sz w:val="20"/>
          <w:szCs w:val="20"/>
          <w:lang w:val="pl-PL"/>
        </w:rPr>
        <w:t xml:space="preserve"> </w:t>
      </w:r>
      <w:r w:rsidR="00167559" w:rsidRPr="005E11AA">
        <w:rPr>
          <w:rFonts w:ascii="Arial" w:hAnsi="Arial" w:cs="Arial"/>
          <w:sz w:val="20"/>
          <w:szCs w:val="20"/>
          <w:lang w:val="pl-PL"/>
        </w:rPr>
        <w:t>– z</w:t>
      </w:r>
      <w:r w:rsidRPr="005E11AA">
        <w:rPr>
          <w:rFonts w:ascii="Arial" w:hAnsi="Arial" w:cs="Arial"/>
          <w:sz w:val="20"/>
          <w:szCs w:val="20"/>
          <w:lang w:val="pl-PL"/>
        </w:rPr>
        <w:t xml:space="preserve">apewnienie czystych, niezawodnych stref odpoczynku, szatni oraz wysokiej jakości kantyn wspiera </w:t>
      </w:r>
      <w:proofErr w:type="spellStart"/>
      <w:r w:rsidRPr="005E11AA">
        <w:rPr>
          <w:rFonts w:ascii="Arial" w:hAnsi="Arial" w:cs="Arial"/>
          <w:sz w:val="20"/>
          <w:szCs w:val="20"/>
          <w:lang w:val="pl-PL"/>
        </w:rPr>
        <w:t>wellbeing</w:t>
      </w:r>
      <w:proofErr w:type="spellEnd"/>
      <w:r w:rsidRPr="005E11AA">
        <w:rPr>
          <w:rFonts w:ascii="Arial" w:hAnsi="Arial" w:cs="Arial"/>
          <w:sz w:val="20"/>
          <w:szCs w:val="20"/>
          <w:lang w:val="pl-PL"/>
        </w:rPr>
        <w:t xml:space="preserve"> i buduje przywiązanie do firmy. </w:t>
      </w:r>
    </w:p>
    <w:p w14:paraId="343ED6CA" w14:textId="047C6386" w:rsidR="00821088" w:rsidRPr="005E11AA" w:rsidRDefault="00821088" w:rsidP="00821088">
      <w:pPr>
        <w:numPr>
          <w:ilvl w:val="0"/>
          <w:numId w:val="3"/>
        </w:numPr>
        <w:jc w:val="both"/>
        <w:rPr>
          <w:rFonts w:ascii="Arial" w:hAnsi="Arial" w:cs="Arial"/>
          <w:sz w:val="20"/>
          <w:szCs w:val="20"/>
          <w:lang w:val="pl-PL"/>
        </w:rPr>
      </w:pPr>
      <w:r w:rsidRPr="005E11AA">
        <w:rPr>
          <w:rFonts w:ascii="Arial" w:hAnsi="Arial" w:cs="Arial"/>
          <w:b/>
          <w:bCs/>
          <w:sz w:val="20"/>
          <w:szCs w:val="20"/>
          <w:lang w:val="pl-PL"/>
        </w:rPr>
        <w:t>Komfort pracy</w:t>
      </w:r>
      <w:r w:rsidRPr="005E11AA">
        <w:rPr>
          <w:rFonts w:ascii="Arial" w:hAnsi="Arial" w:cs="Arial"/>
          <w:sz w:val="20"/>
          <w:szCs w:val="20"/>
          <w:lang w:val="pl-PL"/>
        </w:rPr>
        <w:t xml:space="preserve"> </w:t>
      </w:r>
      <w:r w:rsidR="00167559" w:rsidRPr="005E11AA">
        <w:rPr>
          <w:rFonts w:ascii="Arial" w:hAnsi="Arial" w:cs="Arial"/>
          <w:sz w:val="20"/>
          <w:szCs w:val="20"/>
          <w:lang w:val="pl-PL"/>
        </w:rPr>
        <w:t>– o</w:t>
      </w:r>
      <w:r w:rsidRPr="005E11AA">
        <w:rPr>
          <w:rFonts w:ascii="Arial" w:hAnsi="Arial" w:cs="Arial"/>
          <w:sz w:val="20"/>
          <w:szCs w:val="20"/>
          <w:lang w:val="pl-PL"/>
        </w:rPr>
        <w:t xml:space="preserve">dpowiednie strefowanie akustyczne i wizualne, szczególnie istotne z perspektywy pracowników z </w:t>
      </w:r>
      <w:proofErr w:type="spellStart"/>
      <w:r w:rsidRPr="005E11AA">
        <w:rPr>
          <w:rFonts w:ascii="Arial" w:hAnsi="Arial" w:cs="Arial"/>
          <w:sz w:val="20"/>
          <w:szCs w:val="20"/>
          <w:lang w:val="pl-PL"/>
        </w:rPr>
        <w:t>neuroróżnorodnością</w:t>
      </w:r>
      <w:proofErr w:type="spellEnd"/>
      <w:r w:rsidRPr="005E11AA">
        <w:rPr>
          <w:rFonts w:ascii="Arial" w:hAnsi="Arial" w:cs="Arial"/>
          <w:sz w:val="20"/>
          <w:szCs w:val="20"/>
          <w:lang w:val="pl-PL"/>
        </w:rPr>
        <w:t xml:space="preserve">. </w:t>
      </w:r>
    </w:p>
    <w:p w14:paraId="69C2C1A5" w14:textId="2708F293" w:rsidR="00821088" w:rsidRPr="005E11AA" w:rsidRDefault="00821088" w:rsidP="00821088">
      <w:pPr>
        <w:jc w:val="both"/>
        <w:rPr>
          <w:rFonts w:ascii="Arial" w:hAnsi="Arial" w:cs="Arial"/>
          <w:b/>
          <w:bCs/>
          <w:sz w:val="20"/>
          <w:szCs w:val="20"/>
          <w:lang w:val="pl-PL"/>
        </w:rPr>
      </w:pPr>
      <w:r w:rsidRPr="005E11AA">
        <w:rPr>
          <w:rFonts w:ascii="Arial" w:hAnsi="Arial" w:cs="Arial"/>
          <w:b/>
          <w:bCs/>
          <w:sz w:val="20"/>
          <w:szCs w:val="20"/>
          <w:lang w:val="pl-PL"/>
        </w:rPr>
        <w:lastRenderedPageBreak/>
        <w:t xml:space="preserve">Środowisko pracy jako dźwignia biznesowa </w:t>
      </w:r>
    </w:p>
    <w:p w14:paraId="6D8DF81B" w14:textId="77777777" w:rsidR="00167559" w:rsidRPr="005E11AA" w:rsidRDefault="00167559" w:rsidP="00821088">
      <w:pPr>
        <w:jc w:val="both"/>
        <w:rPr>
          <w:rFonts w:ascii="Arial" w:hAnsi="Arial" w:cs="Arial"/>
          <w:b/>
          <w:bCs/>
          <w:sz w:val="20"/>
          <w:szCs w:val="20"/>
          <w:lang w:val="pl-PL"/>
        </w:rPr>
      </w:pPr>
    </w:p>
    <w:p w14:paraId="6F8BD4F8" w14:textId="1A9BE069" w:rsidR="00821088" w:rsidRPr="005E11AA" w:rsidRDefault="00821088" w:rsidP="00821088">
      <w:pPr>
        <w:jc w:val="both"/>
        <w:rPr>
          <w:rFonts w:ascii="Arial" w:hAnsi="Arial" w:cs="Arial"/>
          <w:sz w:val="20"/>
          <w:szCs w:val="20"/>
          <w:lang w:val="pl-PL"/>
        </w:rPr>
      </w:pPr>
      <w:r w:rsidRPr="005E11AA">
        <w:rPr>
          <w:rFonts w:ascii="Arial" w:hAnsi="Arial" w:cs="Arial"/>
          <w:sz w:val="20"/>
          <w:szCs w:val="20"/>
          <w:lang w:val="pl-PL"/>
        </w:rPr>
        <w:t>Wdrażanie strategii „</w:t>
      </w:r>
      <w:proofErr w:type="spellStart"/>
      <w:r w:rsidRPr="005E11AA">
        <w:rPr>
          <w:rFonts w:ascii="Arial" w:hAnsi="Arial" w:cs="Arial"/>
          <w:sz w:val="20"/>
          <w:szCs w:val="20"/>
          <w:lang w:val="pl-PL"/>
        </w:rPr>
        <w:t>Industrial</w:t>
      </w:r>
      <w:proofErr w:type="spellEnd"/>
      <w:r w:rsidRPr="005E11AA">
        <w:rPr>
          <w:rFonts w:ascii="Arial" w:hAnsi="Arial" w:cs="Arial"/>
          <w:sz w:val="20"/>
          <w:szCs w:val="20"/>
          <w:lang w:val="pl-PL"/>
        </w:rPr>
        <w:t xml:space="preserve"> </w:t>
      </w:r>
      <w:proofErr w:type="spellStart"/>
      <w:r w:rsidRPr="005E11AA">
        <w:rPr>
          <w:rFonts w:ascii="Arial" w:hAnsi="Arial" w:cs="Arial"/>
          <w:sz w:val="20"/>
          <w:szCs w:val="20"/>
          <w:lang w:val="pl-PL"/>
        </w:rPr>
        <w:t>Workplace</w:t>
      </w:r>
      <w:proofErr w:type="spellEnd"/>
      <w:r w:rsidRPr="005E11AA">
        <w:rPr>
          <w:rFonts w:ascii="Arial" w:hAnsi="Arial" w:cs="Arial"/>
          <w:sz w:val="20"/>
          <w:szCs w:val="20"/>
          <w:lang w:val="pl-PL"/>
        </w:rPr>
        <w:t xml:space="preserve">” przesuwa dziś globalną dyskusję o środowisku pracy z kategorii „wydatków na udogodnienia” do poziomu twardego modelu operacyjnego, o którym na świecie coraz częściej decydują dyrektorzy finansowi (CFO) i operacyjni (COO). Ten trend </w:t>
      </w:r>
      <w:r w:rsidR="00167559" w:rsidRPr="005E11AA">
        <w:rPr>
          <w:rFonts w:ascii="Arial" w:hAnsi="Arial" w:cs="Arial"/>
          <w:sz w:val="20"/>
          <w:szCs w:val="20"/>
          <w:lang w:val="pl-PL"/>
        </w:rPr>
        <w:t>widoczny jest także i w Polsce</w:t>
      </w:r>
      <w:r w:rsidRPr="005E11AA">
        <w:rPr>
          <w:rFonts w:ascii="Arial" w:hAnsi="Arial" w:cs="Arial"/>
          <w:sz w:val="20"/>
          <w:szCs w:val="20"/>
          <w:lang w:val="pl-PL"/>
        </w:rPr>
        <w:t xml:space="preserve">. </w:t>
      </w:r>
    </w:p>
    <w:p w14:paraId="52321475" w14:textId="77777777" w:rsidR="00167559" w:rsidRPr="005E11AA" w:rsidRDefault="00167559" w:rsidP="00821088">
      <w:pPr>
        <w:jc w:val="both"/>
        <w:rPr>
          <w:rFonts w:ascii="Arial" w:hAnsi="Arial" w:cs="Arial"/>
          <w:sz w:val="20"/>
          <w:szCs w:val="20"/>
          <w:lang w:val="pl-PL"/>
        </w:rPr>
      </w:pPr>
    </w:p>
    <w:p w14:paraId="73DA214F" w14:textId="3952EB28" w:rsidR="00821088" w:rsidRPr="005E11AA" w:rsidRDefault="00821088" w:rsidP="00821088">
      <w:pPr>
        <w:jc w:val="both"/>
        <w:rPr>
          <w:rFonts w:ascii="Arial" w:hAnsi="Arial" w:cs="Arial"/>
          <w:sz w:val="20"/>
          <w:szCs w:val="20"/>
          <w:lang w:val="pl-PL"/>
        </w:rPr>
      </w:pPr>
      <w:r w:rsidRPr="005E11AA">
        <w:rPr>
          <w:rFonts w:ascii="Arial" w:hAnsi="Arial" w:cs="Arial"/>
          <w:i/>
          <w:iCs/>
          <w:sz w:val="20"/>
          <w:szCs w:val="20"/>
          <w:lang w:val="pl-PL"/>
        </w:rPr>
        <w:t xml:space="preserve">„Rola działu Project &amp; Development Services (PDS) w Polsce wykracza dziś daleko poza tradycyjne zarządzanie budową. Wspieramy klientów w całym cyklu życia inwestycji </w:t>
      </w:r>
      <w:r w:rsidR="00167559" w:rsidRPr="005E11AA">
        <w:rPr>
          <w:rFonts w:ascii="Arial" w:hAnsi="Arial" w:cs="Arial"/>
          <w:i/>
          <w:iCs/>
          <w:sz w:val="20"/>
          <w:szCs w:val="20"/>
          <w:lang w:val="pl-PL"/>
        </w:rPr>
        <w:t>–</w:t>
      </w:r>
      <w:r w:rsidRPr="005E11AA">
        <w:rPr>
          <w:rFonts w:ascii="Arial" w:hAnsi="Arial" w:cs="Arial"/>
          <w:i/>
          <w:iCs/>
          <w:sz w:val="20"/>
          <w:szCs w:val="20"/>
          <w:lang w:val="pl-PL"/>
        </w:rPr>
        <w:t xml:space="preserve"> od analiz wykonalności i doradztwa technicznego, przez optymalizację kosztów</w:t>
      </w:r>
      <w:r w:rsidR="00167559" w:rsidRPr="005E11AA">
        <w:rPr>
          <w:rFonts w:ascii="Arial" w:hAnsi="Arial" w:cs="Arial"/>
          <w:i/>
          <w:iCs/>
          <w:sz w:val="20"/>
          <w:szCs w:val="20"/>
          <w:lang w:val="pl-PL"/>
        </w:rPr>
        <w:t xml:space="preserve">, </w:t>
      </w:r>
      <w:r w:rsidRPr="005E11AA">
        <w:rPr>
          <w:rFonts w:ascii="Arial" w:hAnsi="Arial" w:cs="Arial"/>
          <w:i/>
          <w:iCs/>
          <w:sz w:val="20"/>
          <w:szCs w:val="20"/>
          <w:lang w:val="pl-PL"/>
        </w:rPr>
        <w:t xml:space="preserve">aż po realizację w formule Design &amp; </w:t>
      </w:r>
      <w:proofErr w:type="spellStart"/>
      <w:r w:rsidRPr="005E11AA">
        <w:rPr>
          <w:rFonts w:ascii="Arial" w:hAnsi="Arial" w:cs="Arial"/>
          <w:i/>
          <w:iCs/>
          <w:sz w:val="20"/>
          <w:szCs w:val="20"/>
          <w:lang w:val="pl-PL"/>
        </w:rPr>
        <w:t>Build</w:t>
      </w:r>
      <w:proofErr w:type="spellEnd"/>
      <w:r w:rsidRPr="005E11AA">
        <w:rPr>
          <w:rFonts w:ascii="Arial" w:hAnsi="Arial" w:cs="Arial"/>
          <w:i/>
          <w:iCs/>
          <w:sz w:val="20"/>
          <w:szCs w:val="20"/>
          <w:lang w:val="pl-PL"/>
        </w:rPr>
        <w:t xml:space="preserve">. Analizując </w:t>
      </w:r>
      <w:r w:rsidR="00167559" w:rsidRPr="005E11AA">
        <w:rPr>
          <w:rFonts w:ascii="Arial" w:hAnsi="Arial" w:cs="Arial"/>
          <w:i/>
          <w:iCs/>
          <w:sz w:val="20"/>
          <w:szCs w:val="20"/>
          <w:lang w:val="pl-PL"/>
        </w:rPr>
        <w:t xml:space="preserve">nasz dane </w:t>
      </w:r>
      <w:r w:rsidRPr="005E11AA">
        <w:rPr>
          <w:rFonts w:ascii="Arial" w:hAnsi="Arial" w:cs="Arial"/>
          <w:i/>
          <w:iCs/>
          <w:sz w:val="20"/>
          <w:szCs w:val="20"/>
          <w:lang w:val="pl-PL"/>
        </w:rPr>
        <w:t xml:space="preserve">widzimy wyraźnie, jak środowisko pracy wpływa na rotację i wskaźniki absencji. Dlatego pomagamy inwestorom i najemcom </w:t>
      </w:r>
      <w:r w:rsidR="00167559" w:rsidRPr="005E11AA">
        <w:rPr>
          <w:rFonts w:ascii="Arial" w:hAnsi="Arial" w:cs="Arial"/>
          <w:i/>
          <w:iCs/>
          <w:sz w:val="20"/>
          <w:szCs w:val="20"/>
          <w:lang w:val="pl-PL"/>
        </w:rPr>
        <w:t xml:space="preserve">tworzyć i </w:t>
      </w:r>
      <w:r w:rsidRPr="005E11AA">
        <w:rPr>
          <w:rFonts w:ascii="Arial" w:hAnsi="Arial" w:cs="Arial"/>
          <w:i/>
          <w:iCs/>
          <w:sz w:val="20"/>
          <w:szCs w:val="20"/>
          <w:lang w:val="pl-PL"/>
        </w:rPr>
        <w:t xml:space="preserve">modernizować zakłady produkcyjne </w:t>
      </w:r>
      <w:r w:rsidR="00167559" w:rsidRPr="005E11AA">
        <w:rPr>
          <w:rFonts w:ascii="Arial" w:hAnsi="Arial" w:cs="Arial"/>
          <w:i/>
          <w:iCs/>
          <w:sz w:val="20"/>
          <w:szCs w:val="20"/>
          <w:lang w:val="pl-PL"/>
        </w:rPr>
        <w:t>oraz</w:t>
      </w:r>
      <w:r w:rsidRPr="005E11AA">
        <w:rPr>
          <w:rFonts w:ascii="Arial" w:hAnsi="Arial" w:cs="Arial"/>
          <w:i/>
          <w:iCs/>
          <w:sz w:val="20"/>
          <w:szCs w:val="20"/>
          <w:lang w:val="pl-PL"/>
        </w:rPr>
        <w:t xml:space="preserve"> magazyny w taki sposób, aby </w:t>
      </w:r>
      <w:r w:rsidR="00167559" w:rsidRPr="005E11AA">
        <w:rPr>
          <w:rFonts w:ascii="Arial" w:hAnsi="Arial" w:cs="Arial"/>
          <w:i/>
          <w:iCs/>
          <w:sz w:val="20"/>
          <w:szCs w:val="20"/>
          <w:lang w:val="pl-PL"/>
        </w:rPr>
        <w:t xml:space="preserve">maksymalizować </w:t>
      </w:r>
      <w:r w:rsidRPr="005E11AA">
        <w:rPr>
          <w:rFonts w:ascii="Arial" w:hAnsi="Arial" w:cs="Arial"/>
          <w:i/>
          <w:iCs/>
          <w:sz w:val="20"/>
          <w:szCs w:val="20"/>
          <w:lang w:val="pl-PL"/>
        </w:rPr>
        <w:t xml:space="preserve">zwrot z inwestycji (ROI) oraz efektywność operacyjną. Nasze praktyczne doświadczenie i portfolio obejmujące prace przy projektach dla firm takich jak </w:t>
      </w:r>
      <w:proofErr w:type="spellStart"/>
      <w:r w:rsidRPr="005E11AA">
        <w:rPr>
          <w:rFonts w:ascii="Arial" w:hAnsi="Arial" w:cs="Arial"/>
          <w:i/>
          <w:iCs/>
          <w:sz w:val="20"/>
          <w:szCs w:val="20"/>
          <w:lang w:val="pl-PL"/>
        </w:rPr>
        <w:t>Paccar</w:t>
      </w:r>
      <w:proofErr w:type="spellEnd"/>
      <w:r w:rsidRPr="005E11AA">
        <w:rPr>
          <w:rFonts w:ascii="Arial" w:hAnsi="Arial" w:cs="Arial"/>
          <w:i/>
          <w:iCs/>
          <w:sz w:val="20"/>
          <w:szCs w:val="20"/>
          <w:lang w:val="pl-PL"/>
        </w:rPr>
        <w:t xml:space="preserve">, </w:t>
      </w:r>
      <w:proofErr w:type="spellStart"/>
      <w:r w:rsidRPr="005E11AA">
        <w:rPr>
          <w:rFonts w:ascii="Arial" w:hAnsi="Arial" w:cs="Arial"/>
          <w:i/>
          <w:iCs/>
          <w:sz w:val="20"/>
          <w:szCs w:val="20"/>
          <w:lang w:val="pl-PL"/>
        </w:rPr>
        <w:t>Monosol</w:t>
      </w:r>
      <w:proofErr w:type="spellEnd"/>
      <w:r w:rsidRPr="005E11AA">
        <w:rPr>
          <w:rFonts w:ascii="Arial" w:hAnsi="Arial" w:cs="Arial"/>
          <w:i/>
          <w:iCs/>
          <w:sz w:val="20"/>
          <w:szCs w:val="20"/>
          <w:lang w:val="pl-PL"/>
        </w:rPr>
        <w:t xml:space="preserve">, </w:t>
      </w:r>
      <w:proofErr w:type="spellStart"/>
      <w:r w:rsidRPr="005E11AA">
        <w:rPr>
          <w:rFonts w:ascii="Arial" w:hAnsi="Arial" w:cs="Arial"/>
          <w:i/>
          <w:iCs/>
          <w:sz w:val="20"/>
          <w:szCs w:val="20"/>
          <w:lang w:val="pl-PL"/>
        </w:rPr>
        <w:t>Markem-Imaje</w:t>
      </w:r>
      <w:proofErr w:type="spellEnd"/>
      <w:r w:rsidRPr="005E11AA">
        <w:rPr>
          <w:rFonts w:ascii="Arial" w:hAnsi="Arial" w:cs="Arial"/>
          <w:i/>
          <w:iCs/>
          <w:sz w:val="20"/>
          <w:szCs w:val="20"/>
          <w:lang w:val="pl-PL"/>
        </w:rPr>
        <w:t xml:space="preserve"> czy Valeo udowadniają, że w Polsce możemy tworzyć nowoczesne obiekty logistyczne i przemysłowe, które realnie wspierają długoterminowe cele biznesowe i skutecznie przyciągają talenty”</w:t>
      </w:r>
      <w:r w:rsidR="00167559" w:rsidRPr="005E11AA">
        <w:rPr>
          <w:rFonts w:ascii="Arial" w:hAnsi="Arial" w:cs="Arial"/>
          <w:sz w:val="20"/>
          <w:szCs w:val="20"/>
          <w:lang w:val="pl-PL"/>
        </w:rPr>
        <w:t xml:space="preserve">, mówi </w:t>
      </w:r>
      <w:r w:rsidR="00800B69" w:rsidRPr="005E11AA">
        <w:rPr>
          <w:rFonts w:ascii="Arial" w:hAnsi="Arial" w:cs="Arial"/>
          <w:b/>
          <w:bCs/>
          <w:sz w:val="20"/>
          <w:szCs w:val="20"/>
          <w:lang w:val="pl-PL"/>
        </w:rPr>
        <w:t xml:space="preserve">Andrew </w:t>
      </w:r>
      <w:proofErr w:type="spellStart"/>
      <w:r w:rsidR="00800B69" w:rsidRPr="005E11AA">
        <w:rPr>
          <w:rFonts w:ascii="Arial" w:hAnsi="Arial" w:cs="Arial"/>
          <w:b/>
          <w:bCs/>
          <w:sz w:val="20"/>
          <w:szCs w:val="20"/>
          <w:lang w:val="pl-PL"/>
        </w:rPr>
        <w:t>Frizell</w:t>
      </w:r>
      <w:proofErr w:type="spellEnd"/>
      <w:r w:rsidR="00800B69" w:rsidRPr="005E11AA">
        <w:rPr>
          <w:rFonts w:ascii="Arial" w:hAnsi="Arial" w:cs="Arial"/>
          <w:b/>
          <w:bCs/>
          <w:sz w:val="20"/>
          <w:szCs w:val="20"/>
          <w:lang w:val="pl-PL"/>
        </w:rPr>
        <w:t xml:space="preserve">, </w:t>
      </w:r>
      <w:proofErr w:type="spellStart"/>
      <w:r w:rsidR="00800B69" w:rsidRPr="005E11AA">
        <w:rPr>
          <w:rFonts w:ascii="Arial" w:hAnsi="Arial" w:cs="Arial"/>
          <w:b/>
          <w:bCs/>
          <w:sz w:val="20"/>
          <w:szCs w:val="20"/>
          <w:lang w:val="pl-PL"/>
        </w:rPr>
        <w:t>Head</w:t>
      </w:r>
      <w:proofErr w:type="spellEnd"/>
      <w:r w:rsidR="00800B69" w:rsidRPr="005E11AA">
        <w:rPr>
          <w:rFonts w:ascii="Arial" w:hAnsi="Arial" w:cs="Arial"/>
          <w:b/>
          <w:bCs/>
          <w:sz w:val="20"/>
          <w:szCs w:val="20"/>
          <w:lang w:val="pl-PL"/>
        </w:rPr>
        <w:t xml:space="preserve"> of Project and Development Services, </w:t>
      </w:r>
      <w:proofErr w:type="spellStart"/>
      <w:r w:rsidR="00800B69" w:rsidRPr="005E11AA">
        <w:rPr>
          <w:rFonts w:ascii="Arial" w:hAnsi="Arial" w:cs="Arial"/>
          <w:b/>
          <w:bCs/>
          <w:sz w:val="20"/>
          <w:szCs w:val="20"/>
          <w:lang w:val="pl-PL"/>
        </w:rPr>
        <w:t>Cushman</w:t>
      </w:r>
      <w:proofErr w:type="spellEnd"/>
      <w:r w:rsidR="00800B69" w:rsidRPr="005E11AA">
        <w:rPr>
          <w:rFonts w:ascii="Arial" w:hAnsi="Arial" w:cs="Arial"/>
          <w:b/>
          <w:bCs/>
          <w:sz w:val="20"/>
          <w:szCs w:val="20"/>
          <w:lang w:val="pl-PL"/>
        </w:rPr>
        <w:t xml:space="preserve"> &amp; Wakefield Polska.</w:t>
      </w:r>
    </w:p>
    <w:p w14:paraId="4A3B7917" w14:textId="77777777" w:rsidR="00800B69" w:rsidRPr="005E11AA" w:rsidRDefault="00800B69" w:rsidP="00821088">
      <w:pPr>
        <w:jc w:val="both"/>
        <w:rPr>
          <w:rFonts w:ascii="Arial" w:hAnsi="Arial" w:cs="Arial"/>
          <w:b/>
          <w:bCs/>
          <w:sz w:val="20"/>
          <w:szCs w:val="20"/>
          <w:lang w:val="pl-PL"/>
        </w:rPr>
      </w:pPr>
    </w:p>
    <w:p w14:paraId="59FF14BF" w14:textId="77777777" w:rsidR="00800B69" w:rsidRPr="005E11AA" w:rsidRDefault="00821088" w:rsidP="00821088">
      <w:pPr>
        <w:jc w:val="both"/>
        <w:rPr>
          <w:rFonts w:ascii="Arial" w:hAnsi="Arial" w:cs="Arial"/>
          <w:sz w:val="20"/>
          <w:szCs w:val="20"/>
          <w:lang w:val="pl-PL"/>
        </w:rPr>
      </w:pPr>
      <w:r w:rsidRPr="005E11AA">
        <w:rPr>
          <w:rFonts w:ascii="Arial" w:hAnsi="Arial" w:cs="Arial"/>
          <w:sz w:val="20"/>
          <w:szCs w:val="20"/>
          <w:lang w:val="pl-PL"/>
        </w:rPr>
        <w:t>Tworzenie środowiska pracy skoncentrowanego na ludziach to dziś najmocniejsza karta przetargowa na konkurencyjnym, polskim rynku</w:t>
      </w:r>
      <w:r w:rsidR="00800B69" w:rsidRPr="005E11AA">
        <w:rPr>
          <w:rFonts w:ascii="Arial" w:hAnsi="Arial" w:cs="Arial"/>
          <w:sz w:val="20"/>
          <w:szCs w:val="20"/>
          <w:lang w:val="pl-PL"/>
        </w:rPr>
        <w:t xml:space="preserve"> przemysłowo-logistycznym</w:t>
      </w:r>
      <w:r w:rsidRPr="005E11AA">
        <w:rPr>
          <w:rFonts w:ascii="Arial" w:hAnsi="Arial" w:cs="Arial"/>
          <w:sz w:val="20"/>
          <w:szCs w:val="20"/>
          <w:lang w:val="pl-PL"/>
        </w:rPr>
        <w:t xml:space="preserve">. </w:t>
      </w:r>
    </w:p>
    <w:p w14:paraId="0BC7A1F9" w14:textId="77777777" w:rsidR="00800B69" w:rsidRPr="005E11AA" w:rsidRDefault="00800B69" w:rsidP="00821088">
      <w:pPr>
        <w:jc w:val="both"/>
        <w:rPr>
          <w:rFonts w:ascii="Arial" w:hAnsi="Arial" w:cs="Arial"/>
          <w:sz w:val="20"/>
          <w:szCs w:val="20"/>
          <w:lang w:val="pl-PL"/>
        </w:rPr>
      </w:pPr>
    </w:p>
    <w:p w14:paraId="7A6AD7C7" w14:textId="1F8F91D7" w:rsidR="00800B69" w:rsidRPr="005E11AA" w:rsidRDefault="00800B69" w:rsidP="00800B69">
      <w:pPr>
        <w:jc w:val="both"/>
        <w:rPr>
          <w:rFonts w:ascii="Arial" w:hAnsi="Arial" w:cs="Arial"/>
          <w:sz w:val="20"/>
          <w:szCs w:val="20"/>
          <w:lang w:val="pl-PL"/>
        </w:rPr>
      </w:pPr>
      <w:r w:rsidRPr="005E11AA">
        <w:rPr>
          <w:rFonts w:ascii="Arial" w:hAnsi="Arial" w:cs="Arial"/>
          <w:i/>
          <w:iCs/>
          <w:sz w:val="20"/>
          <w:szCs w:val="20"/>
          <w:lang w:val="pl-PL"/>
        </w:rPr>
        <w:t xml:space="preserve">„Przygotowanie odpowiedniego projektu hali produkcyjnej czy centrum dystrybucyjnego wymaga dziś spojrzenia z kilku perspektyw na raz – strategicznego doradztwa i zrównoważonego rozwoju, </w:t>
      </w:r>
      <w:r w:rsidR="008720E9" w:rsidRPr="005E11AA">
        <w:rPr>
          <w:rFonts w:ascii="Arial" w:hAnsi="Arial" w:cs="Arial"/>
          <w:i/>
          <w:iCs/>
          <w:sz w:val="20"/>
          <w:szCs w:val="20"/>
          <w:lang w:val="pl-PL"/>
        </w:rPr>
        <w:t>wpływu decyzji projektowych na wycenę, kosztów operacyjnych, adaptowalności przestrzeni do zmian czy właśnie utrzymania talentów. Dlatego często tworzymy interdyscyplinarne zespoły, w ramach których łączymy te perspektywy w jedną, spójną wizję</w:t>
      </w:r>
      <w:r w:rsidRPr="005E11AA">
        <w:rPr>
          <w:rFonts w:ascii="Arial" w:hAnsi="Arial" w:cs="Arial"/>
          <w:i/>
          <w:iCs/>
          <w:sz w:val="20"/>
          <w:szCs w:val="20"/>
          <w:lang w:val="pl-PL"/>
        </w:rPr>
        <w:t>”</w:t>
      </w:r>
      <w:r w:rsidRPr="005E11AA">
        <w:rPr>
          <w:rFonts w:ascii="Arial" w:hAnsi="Arial" w:cs="Arial"/>
          <w:sz w:val="20"/>
          <w:szCs w:val="20"/>
          <w:lang w:val="pl-PL"/>
        </w:rPr>
        <w:t xml:space="preserve">, </w:t>
      </w:r>
      <w:r w:rsidR="008720E9" w:rsidRPr="005E11AA">
        <w:rPr>
          <w:rFonts w:ascii="Arial" w:hAnsi="Arial" w:cs="Arial"/>
          <w:sz w:val="20"/>
          <w:szCs w:val="20"/>
          <w:lang w:val="pl-PL"/>
        </w:rPr>
        <w:t>dodaje</w:t>
      </w:r>
      <w:r w:rsidRPr="005E11AA">
        <w:rPr>
          <w:rFonts w:ascii="Arial" w:hAnsi="Arial" w:cs="Arial"/>
          <w:sz w:val="20"/>
          <w:szCs w:val="20"/>
          <w:lang w:val="pl-PL"/>
        </w:rPr>
        <w:t xml:space="preserve"> </w:t>
      </w:r>
      <w:r w:rsidRPr="005E11AA">
        <w:rPr>
          <w:rFonts w:ascii="Arial" w:hAnsi="Arial" w:cs="Arial"/>
          <w:b/>
          <w:bCs/>
          <w:sz w:val="20"/>
          <w:szCs w:val="20"/>
          <w:lang w:val="pl-PL"/>
        </w:rPr>
        <w:t xml:space="preserve">Andrew </w:t>
      </w:r>
      <w:proofErr w:type="spellStart"/>
      <w:r w:rsidRPr="005E11AA">
        <w:rPr>
          <w:rFonts w:ascii="Arial" w:hAnsi="Arial" w:cs="Arial"/>
          <w:b/>
          <w:bCs/>
          <w:sz w:val="20"/>
          <w:szCs w:val="20"/>
          <w:lang w:val="pl-PL"/>
        </w:rPr>
        <w:t>Frizell</w:t>
      </w:r>
      <w:proofErr w:type="spellEnd"/>
      <w:r w:rsidRPr="005E11AA">
        <w:rPr>
          <w:rFonts w:ascii="Arial" w:hAnsi="Arial" w:cs="Arial"/>
          <w:b/>
          <w:bCs/>
          <w:sz w:val="20"/>
          <w:szCs w:val="20"/>
          <w:lang w:val="pl-PL"/>
        </w:rPr>
        <w:t>.</w:t>
      </w:r>
    </w:p>
    <w:p w14:paraId="150EC6D5" w14:textId="77777777" w:rsidR="00F911A8" w:rsidRDefault="00F911A8" w:rsidP="00821088">
      <w:pPr>
        <w:jc w:val="both"/>
      </w:pPr>
    </w:p>
    <w:sectPr w:rsidR="00F911A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7DE302" w14:textId="77777777" w:rsidR="00AE0584" w:rsidRDefault="00AE0584" w:rsidP="00967C88">
      <w:r>
        <w:separator/>
      </w:r>
    </w:p>
  </w:endnote>
  <w:endnote w:type="continuationSeparator" w:id="0">
    <w:p w14:paraId="086262A8" w14:textId="77777777" w:rsidR="00AE0584" w:rsidRDefault="00AE0584" w:rsidP="00967C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739F1F" w14:textId="77777777" w:rsidR="00AE0584" w:rsidRDefault="00AE0584" w:rsidP="00967C88">
      <w:r>
        <w:separator/>
      </w:r>
    </w:p>
  </w:footnote>
  <w:footnote w:type="continuationSeparator" w:id="0">
    <w:p w14:paraId="309C51B5" w14:textId="77777777" w:rsidR="00AE0584" w:rsidRDefault="00AE0584" w:rsidP="00967C88">
      <w:r>
        <w:continuationSeparator/>
      </w:r>
    </w:p>
  </w:footnote>
  <w:footnote w:id="1">
    <w:p w14:paraId="7EF708F2" w14:textId="458A3989" w:rsidR="00967C88" w:rsidRPr="00967C88" w:rsidRDefault="00967C88">
      <w:pPr>
        <w:pStyle w:val="FootnoteText"/>
        <w:rPr>
          <w:lang w:val="pl-PL"/>
        </w:rPr>
      </w:pPr>
      <w:r>
        <w:rPr>
          <w:rStyle w:val="FootnoteReference"/>
        </w:rPr>
        <w:footnoteRef/>
      </w:r>
      <w:r>
        <w:t xml:space="preserve"> </w:t>
      </w:r>
      <w:r w:rsidRPr="00967C88">
        <w:t>Źródło: Raport EURES / Eurostat („Informacje o rynku pracy: Polska”)</w:t>
      </w:r>
    </w:p>
  </w:footnote>
  <w:footnote w:id="2">
    <w:p w14:paraId="191D9B23" w14:textId="29458C10" w:rsidR="00967C88" w:rsidRPr="00967C88" w:rsidRDefault="00967C88">
      <w:pPr>
        <w:pStyle w:val="FootnoteText"/>
        <w:rPr>
          <w:lang w:val="pl-PL"/>
        </w:rPr>
      </w:pPr>
      <w:r>
        <w:rPr>
          <w:rStyle w:val="FootnoteReference"/>
        </w:rPr>
        <w:footnoteRef/>
      </w:r>
      <w:r>
        <w:t xml:space="preserve"> </w:t>
      </w:r>
      <w:r w:rsidRPr="00967C88">
        <w:t>Źródło: Raport PARP (Polska Agencja Rozwoju Przedsiębiorczości) – „Niedobór talentów i nowe modele pracy – obraz rynku w 2025 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19A44FA"/>
    <w:multiLevelType w:val="multilevel"/>
    <w:tmpl w:val="DDD84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ACA1C86"/>
    <w:multiLevelType w:val="multilevel"/>
    <w:tmpl w:val="1164B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DA279FA"/>
    <w:multiLevelType w:val="multilevel"/>
    <w:tmpl w:val="87066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72224823">
    <w:abstractNumId w:val="2"/>
  </w:num>
  <w:num w:numId="2" w16cid:durableId="1723943350">
    <w:abstractNumId w:val="0"/>
  </w:num>
  <w:num w:numId="3" w16cid:durableId="840373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64A8"/>
    <w:rsid w:val="00167559"/>
    <w:rsid w:val="005E11AA"/>
    <w:rsid w:val="005F2D4C"/>
    <w:rsid w:val="006E64A8"/>
    <w:rsid w:val="007541FE"/>
    <w:rsid w:val="00800B69"/>
    <w:rsid w:val="00821088"/>
    <w:rsid w:val="008720E9"/>
    <w:rsid w:val="008B1342"/>
    <w:rsid w:val="00967C88"/>
    <w:rsid w:val="00AA25C4"/>
    <w:rsid w:val="00AE0584"/>
    <w:rsid w:val="00BA6D4A"/>
    <w:rsid w:val="00C86D74"/>
    <w:rsid w:val="00F911A8"/>
    <w:rsid w:val="00FE3D6C"/>
  </w:rsids>
  <m:mathPr>
    <m:mathFont m:val="Cambria Math"/>
    <m:brkBin m:val="before"/>
    <m:brkBinSub m:val="--"/>
    <m:smallFrac m:val="0"/>
    <m:dispDef/>
    <m:lMargin m:val="0"/>
    <m:rMargin m:val="0"/>
    <m:defJc m:val="centerGroup"/>
    <m:wrapIndent m:val="1440"/>
    <m:intLim m:val="subSup"/>
    <m:naryLim m:val="undOvr"/>
  </m:mathPr>
  <w:themeFontLang w:val="en-PL"/>
  <w:clrSchemeMapping w:bg1="light1" w:t1="dark1" w:bg2="light2" w:t2="dark2" w:accent1="accent1" w:accent2="accent2" w:accent3="accent3" w:accent4="accent4" w:accent5="accent5" w:accent6="accent6" w:hyperlink="hyperlink" w:followedHyperlink="followedHyperlink"/>
  <w:decimalSymbol w:val=","/>
  <w:listSeparator w:val=","/>
  <w14:docId w14:val="71A636C3"/>
  <w15:chartTrackingRefBased/>
  <w15:docId w15:val="{22418181-A60C-D04F-8EA5-EFD57A15B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P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E64A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E64A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E64A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E64A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E64A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E64A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E64A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E64A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E64A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64A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E64A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E64A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E64A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E64A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E64A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E64A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E64A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E64A8"/>
    <w:rPr>
      <w:rFonts w:eastAsiaTheme="majorEastAsia" w:cstheme="majorBidi"/>
      <w:color w:val="272727" w:themeColor="text1" w:themeTint="D8"/>
    </w:rPr>
  </w:style>
  <w:style w:type="paragraph" w:styleId="Title">
    <w:name w:val="Title"/>
    <w:basedOn w:val="Normal"/>
    <w:next w:val="Normal"/>
    <w:link w:val="TitleChar"/>
    <w:uiPriority w:val="10"/>
    <w:qFormat/>
    <w:rsid w:val="006E64A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64A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E64A8"/>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E64A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E64A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E64A8"/>
    <w:rPr>
      <w:i/>
      <w:iCs/>
      <w:color w:val="404040" w:themeColor="text1" w:themeTint="BF"/>
    </w:rPr>
  </w:style>
  <w:style w:type="paragraph" w:styleId="ListParagraph">
    <w:name w:val="List Paragraph"/>
    <w:basedOn w:val="Normal"/>
    <w:uiPriority w:val="34"/>
    <w:qFormat/>
    <w:rsid w:val="006E64A8"/>
    <w:pPr>
      <w:ind w:left="720"/>
      <w:contextualSpacing/>
    </w:pPr>
  </w:style>
  <w:style w:type="character" w:styleId="IntenseEmphasis">
    <w:name w:val="Intense Emphasis"/>
    <w:basedOn w:val="DefaultParagraphFont"/>
    <w:uiPriority w:val="21"/>
    <w:qFormat/>
    <w:rsid w:val="006E64A8"/>
    <w:rPr>
      <w:i/>
      <w:iCs/>
      <w:color w:val="0F4761" w:themeColor="accent1" w:themeShade="BF"/>
    </w:rPr>
  </w:style>
  <w:style w:type="paragraph" w:styleId="IntenseQuote">
    <w:name w:val="Intense Quote"/>
    <w:basedOn w:val="Normal"/>
    <w:next w:val="Normal"/>
    <w:link w:val="IntenseQuoteChar"/>
    <w:uiPriority w:val="30"/>
    <w:qFormat/>
    <w:rsid w:val="006E64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E64A8"/>
    <w:rPr>
      <w:i/>
      <w:iCs/>
      <w:color w:val="0F4761" w:themeColor="accent1" w:themeShade="BF"/>
    </w:rPr>
  </w:style>
  <w:style w:type="character" w:styleId="IntenseReference">
    <w:name w:val="Intense Reference"/>
    <w:basedOn w:val="DefaultParagraphFont"/>
    <w:uiPriority w:val="32"/>
    <w:qFormat/>
    <w:rsid w:val="006E64A8"/>
    <w:rPr>
      <w:b/>
      <w:bCs/>
      <w:smallCaps/>
      <w:color w:val="0F4761" w:themeColor="accent1" w:themeShade="BF"/>
      <w:spacing w:val="5"/>
    </w:rPr>
  </w:style>
  <w:style w:type="paragraph" w:styleId="FootnoteText">
    <w:name w:val="footnote text"/>
    <w:basedOn w:val="Normal"/>
    <w:link w:val="FootnoteTextChar"/>
    <w:uiPriority w:val="99"/>
    <w:semiHidden/>
    <w:unhideWhenUsed/>
    <w:rsid w:val="00967C88"/>
    <w:rPr>
      <w:sz w:val="20"/>
      <w:szCs w:val="20"/>
    </w:rPr>
  </w:style>
  <w:style w:type="character" w:customStyle="1" w:styleId="FootnoteTextChar">
    <w:name w:val="Footnote Text Char"/>
    <w:basedOn w:val="DefaultParagraphFont"/>
    <w:link w:val="FootnoteText"/>
    <w:uiPriority w:val="99"/>
    <w:semiHidden/>
    <w:rsid w:val="00967C88"/>
    <w:rPr>
      <w:sz w:val="20"/>
      <w:szCs w:val="20"/>
    </w:rPr>
  </w:style>
  <w:style w:type="character" w:styleId="FootnoteReference">
    <w:name w:val="footnote reference"/>
    <w:basedOn w:val="DefaultParagraphFont"/>
    <w:uiPriority w:val="99"/>
    <w:semiHidden/>
    <w:unhideWhenUsed/>
    <w:rsid w:val="00967C8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44665708">
      <w:bodyDiv w:val="1"/>
      <w:marLeft w:val="0"/>
      <w:marRight w:val="0"/>
      <w:marTop w:val="0"/>
      <w:marBottom w:val="0"/>
      <w:divBdr>
        <w:top w:val="none" w:sz="0" w:space="0" w:color="auto"/>
        <w:left w:val="none" w:sz="0" w:space="0" w:color="auto"/>
        <w:bottom w:val="none" w:sz="0" w:space="0" w:color="auto"/>
        <w:right w:val="none" w:sz="0" w:space="0" w:color="auto"/>
      </w:divBdr>
      <w:divsChild>
        <w:div w:id="971982209">
          <w:blockQuote w:val="1"/>
          <w:marLeft w:val="720"/>
          <w:marRight w:val="720"/>
          <w:marTop w:val="0"/>
          <w:marBottom w:val="100"/>
          <w:divBdr>
            <w:top w:val="none" w:sz="0" w:space="0" w:color="auto"/>
            <w:left w:val="none" w:sz="0" w:space="0" w:color="auto"/>
            <w:bottom w:val="none" w:sz="0" w:space="0" w:color="auto"/>
            <w:right w:val="none" w:sz="0" w:space="0" w:color="auto"/>
          </w:divBdr>
        </w:div>
        <w:div w:id="2129928943">
          <w:blockQuote w:val="1"/>
          <w:marLeft w:val="720"/>
          <w:marRight w:val="720"/>
          <w:marTop w:val="0"/>
          <w:marBottom w:val="100"/>
          <w:divBdr>
            <w:top w:val="none" w:sz="0" w:space="0" w:color="auto"/>
            <w:left w:val="none" w:sz="0" w:space="0" w:color="auto"/>
            <w:bottom w:val="none" w:sz="0" w:space="0" w:color="auto"/>
            <w:right w:val="none" w:sz="0" w:space="0" w:color="auto"/>
          </w:divBdr>
        </w:div>
      </w:divsChild>
    </w:div>
    <w:div w:id="1602175807">
      <w:bodyDiv w:val="1"/>
      <w:marLeft w:val="0"/>
      <w:marRight w:val="0"/>
      <w:marTop w:val="0"/>
      <w:marBottom w:val="0"/>
      <w:divBdr>
        <w:top w:val="none" w:sz="0" w:space="0" w:color="auto"/>
        <w:left w:val="none" w:sz="0" w:space="0" w:color="auto"/>
        <w:bottom w:val="none" w:sz="0" w:space="0" w:color="auto"/>
        <w:right w:val="none" w:sz="0" w:space="0" w:color="auto"/>
      </w:divBdr>
      <w:divsChild>
        <w:div w:id="1531600471">
          <w:blockQuote w:val="1"/>
          <w:marLeft w:val="720"/>
          <w:marRight w:val="720"/>
          <w:marTop w:val="0"/>
          <w:marBottom w:val="100"/>
          <w:divBdr>
            <w:top w:val="none" w:sz="0" w:space="0" w:color="auto"/>
            <w:left w:val="none" w:sz="0" w:space="0" w:color="auto"/>
            <w:bottom w:val="none" w:sz="0" w:space="0" w:color="auto"/>
            <w:right w:val="none" w:sz="0" w:space="0" w:color="auto"/>
          </w:divBdr>
        </w:div>
      </w:divsChild>
    </w:div>
    <w:div w:id="1825009012">
      <w:bodyDiv w:val="1"/>
      <w:marLeft w:val="0"/>
      <w:marRight w:val="0"/>
      <w:marTop w:val="0"/>
      <w:marBottom w:val="0"/>
      <w:divBdr>
        <w:top w:val="none" w:sz="0" w:space="0" w:color="auto"/>
        <w:left w:val="none" w:sz="0" w:space="0" w:color="auto"/>
        <w:bottom w:val="none" w:sz="0" w:space="0" w:color="auto"/>
        <w:right w:val="none" w:sz="0" w:space="0" w:color="auto"/>
      </w:divBdr>
      <w:divsChild>
        <w:div w:id="2053454585">
          <w:blockQuote w:val="1"/>
          <w:marLeft w:val="720"/>
          <w:marRight w:val="720"/>
          <w:marTop w:val="0"/>
          <w:marBottom w:val="100"/>
          <w:divBdr>
            <w:top w:val="none" w:sz="0" w:space="0" w:color="auto"/>
            <w:left w:val="none" w:sz="0" w:space="0" w:color="auto"/>
            <w:bottom w:val="none" w:sz="0" w:space="0" w:color="auto"/>
            <w:right w:val="none" w:sz="0" w:space="0" w:color="auto"/>
          </w:divBdr>
        </w:div>
      </w:divsChild>
    </w:div>
    <w:div w:id="2135438350">
      <w:bodyDiv w:val="1"/>
      <w:marLeft w:val="0"/>
      <w:marRight w:val="0"/>
      <w:marTop w:val="0"/>
      <w:marBottom w:val="0"/>
      <w:divBdr>
        <w:top w:val="none" w:sz="0" w:space="0" w:color="auto"/>
        <w:left w:val="none" w:sz="0" w:space="0" w:color="auto"/>
        <w:bottom w:val="none" w:sz="0" w:space="0" w:color="auto"/>
        <w:right w:val="none" w:sz="0" w:space="0" w:color="auto"/>
      </w:divBdr>
      <w:divsChild>
        <w:div w:id="2107341103">
          <w:blockQuote w:val="1"/>
          <w:marLeft w:val="720"/>
          <w:marRight w:val="720"/>
          <w:marTop w:val="0"/>
          <w:marBottom w:val="100"/>
          <w:divBdr>
            <w:top w:val="none" w:sz="0" w:space="0" w:color="auto"/>
            <w:left w:val="none" w:sz="0" w:space="0" w:color="auto"/>
            <w:bottom w:val="none" w:sz="0" w:space="0" w:color="auto"/>
            <w:right w:val="none" w:sz="0" w:space="0" w:color="auto"/>
          </w:divBdr>
        </w:div>
        <w:div w:id="936249758">
          <w:blockQuote w:val="1"/>
          <w:marLeft w:val="720"/>
          <w:marRight w:val="720"/>
          <w:marTop w:val="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DB1976-4A08-1541-BB4D-CBAEE33D25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876</Words>
  <Characters>4998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 ossowska</dc:creator>
  <cp:keywords/>
  <dc:description/>
  <cp:lastModifiedBy>magdalena ossowska</cp:lastModifiedBy>
  <cp:revision>2</cp:revision>
  <dcterms:created xsi:type="dcterms:W3CDTF">2026-07-30T08:36:00Z</dcterms:created>
  <dcterms:modified xsi:type="dcterms:W3CDTF">2026-07-30T08:36:00Z</dcterms:modified>
</cp:coreProperties>
</file>