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BBCEE" w14:textId="77777777" w:rsidR="007B6B33" w:rsidRDefault="007B6B33">
      <w:pPr>
        <w:widowControl w:val="0"/>
        <w:pBdr>
          <w:top w:val="nil"/>
          <w:left w:val="nil"/>
          <w:bottom w:val="nil"/>
          <w:right w:val="nil"/>
          <w:between w:val="nil"/>
        </w:pBdr>
        <w:spacing w:after="0" w:line="276" w:lineRule="auto"/>
      </w:pPr>
    </w:p>
    <w:p w14:paraId="7DABBCEF" w14:textId="77777777" w:rsidR="007B6B33" w:rsidRDefault="00EB5C27">
      <w:pPr>
        <w:jc w:val="center"/>
        <w:rPr>
          <w:b/>
          <w:bCs/>
        </w:rPr>
      </w:pPr>
      <w:r>
        <w:rPr>
          <w:b/>
          <w:bCs/>
        </w:rPr>
        <w:t>CTP stawia na Bydgoszcz. Nowa inwestycja otworzy kolejne możliwości dla logistyki i produkcji</w:t>
      </w:r>
    </w:p>
    <w:p w14:paraId="7DABBCF0" w14:textId="77777777" w:rsidR="007B6B33" w:rsidRDefault="007B6B33"/>
    <w:p w14:paraId="10592AD1" w14:textId="4C2190CC" w:rsidR="003D472D" w:rsidRPr="003D472D" w:rsidRDefault="003D472D">
      <w:pPr>
        <w:rPr>
          <w:sz w:val="20"/>
          <w:szCs w:val="20"/>
        </w:rPr>
      </w:pPr>
      <w:r w:rsidRPr="003D472D">
        <w:rPr>
          <w:sz w:val="20"/>
          <w:szCs w:val="20"/>
        </w:rPr>
        <w:t>Warszawa, 30 lipca 2026</w:t>
      </w:r>
    </w:p>
    <w:p w14:paraId="3ED15408" w14:textId="77777777" w:rsidR="003D472D" w:rsidRDefault="003D472D"/>
    <w:p w14:paraId="7DABBCF1" w14:textId="77777777" w:rsidR="007B6B33" w:rsidRPr="003D472D" w:rsidRDefault="00EB5C27">
      <w:r w:rsidRPr="003D472D">
        <w:t>CTP, jeden z największych europejskich deweloperów i właścicieli nieruchomości przemysłowo-logistycznych, debiutuje w województwie kujawsko-pomorskim. Firma ogłosiła start nowej inwestycji – CTPark Bydgoszcz. Nowoczesny kompleks zaoferuje łącznie ponad 51 000 mkw. elastycznej powierzchni z możliwością podziału na moduły dopasowane do potrzeb najemców. Prace budowlane mają ruszyć już w najbliższych miesiącach.</w:t>
      </w:r>
    </w:p>
    <w:p w14:paraId="7DABBCF2" w14:textId="77777777" w:rsidR="007B6B33" w:rsidRDefault="007B6B33"/>
    <w:p w14:paraId="7DABBCF3" w14:textId="77777777" w:rsidR="007B6B33" w:rsidRDefault="00EB5C27">
      <w:r>
        <w:t>Nowa inwestycja powstanie na działce o powierzchni 14,05 ha, zlokalizowanej bezpośrednio przy węźle Bydgoszcz Zachód. To strategiczny punkt na mapie Polski, w którym krzyżują się droga ekspresowa S5 oraz droga krajowa nr 10. W ramach parku zaplanowano realizację dwóch nowoczesnych budynków o powierzchni odpowiednio 31 441 mkw. oraz 20 039 mkw.</w:t>
      </w:r>
    </w:p>
    <w:p w14:paraId="7DABBCF4" w14:textId="77777777" w:rsidR="007B6B33" w:rsidRDefault="007B6B33"/>
    <w:p w14:paraId="7DABBCF5" w14:textId="0266202B" w:rsidR="007B6B33" w:rsidRDefault="00EB5C27">
      <w:r>
        <w:t xml:space="preserve">CTPark zostanie wybudowany na terenie Pomorskiej Specjalnej Strefy Ekonomicznej (PSSE), co oznacza </w:t>
      </w:r>
      <w:hyperlink r:id="rId7">
        <w:r w:rsidR="007B6B33" w:rsidRPr="3F9FCAA4">
          <w:rPr>
            <w:color w:val="1155CC"/>
            <w:u w:val="single"/>
          </w:rPr>
          <w:t xml:space="preserve">wymierne </w:t>
        </w:r>
      </w:hyperlink>
      <w:hyperlink r:id="rId8">
        <w:r w:rsidR="007B6B33" w:rsidRPr="3F9FCAA4">
          <w:rPr>
            <w:color w:val="1155CC"/>
            <w:u w:val="single"/>
          </w:rPr>
          <w:t>korzyści</w:t>
        </w:r>
      </w:hyperlink>
      <w:r>
        <w:t xml:space="preserve"> dla przyszłych najemców – możliwość uzyskania zwolnienia z podatku dochodowego (CIT/PIT) sięgającego od 40% (dla dużych przedsiębiorstw) do nawet 60% (dla małych firm) wartości kosztów inwestycji lub dwuletnich kosztów zatrudnienia nowej kadry.</w:t>
      </w:r>
      <w:r w:rsidR="2CC167F4">
        <w:t xml:space="preserve"> Inwestorzy mogą też liczyć na pomoc strefy w rozmowach z lokalnym samorządem oraz na zwolnienie z podatku od nieruchomości</w:t>
      </w:r>
    </w:p>
    <w:p w14:paraId="7DABBCF6" w14:textId="77777777" w:rsidR="007B6B33" w:rsidRDefault="007B6B33"/>
    <w:p w14:paraId="5AA08396" w14:textId="5554EE31" w:rsidR="003D472D" w:rsidRDefault="003D472D" w:rsidP="003D472D">
      <w:pPr>
        <w:ind w:left="720"/>
      </w:pPr>
      <w:r>
        <w:t>–</w:t>
      </w:r>
      <w:r w:rsidRPr="003D472D">
        <w:t xml:space="preserve"> </w:t>
      </w:r>
      <w:r w:rsidRPr="003D472D">
        <w:t xml:space="preserve">Zaledwie kilka tygodni temu informowaliśmy o rozpoczęciu budowy </w:t>
      </w:r>
      <w:proofErr w:type="spellStart"/>
      <w:r w:rsidRPr="003D472D">
        <w:t>CTPark</w:t>
      </w:r>
      <w:proofErr w:type="spellEnd"/>
      <w:r w:rsidRPr="003D472D">
        <w:t xml:space="preserve"> Poznań Suchy Las, naszej pierwszej inwestycji w Wielkopolsce. Teraz wchodzimy do województwa kujawsko-pomorskiego. Oba projekty potwierdzają, że konsekwentnie poszerzamy zasięg działalności CTP w Polsce. Rozwijamy nowoczesną infrastrukturę przemysłowo-logistyczną w lokalizacjach o wysokim potencjale biznesowym, odpowiadając zarówno na zmieniające się potrzeby najemców, jak i na rosnące znaczenie regionalnych rynków – mówi </w:t>
      </w:r>
      <w:r w:rsidRPr="003D472D">
        <w:rPr>
          <w:b/>
          <w:bCs/>
        </w:rPr>
        <w:t xml:space="preserve">Piotr Flugel, </w:t>
      </w:r>
      <w:proofErr w:type="spellStart"/>
      <w:r w:rsidRPr="003D472D">
        <w:rPr>
          <w:b/>
          <w:bCs/>
        </w:rPr>
        <w:t>Managing</w:t>
      </w:r>
      <w:proofErr w:type="spellEnd"/>
      <w:r w:rsidRPr="003D472D">
        <w:rPr>
          <w:b/>
          <w:bCs/>
        </w:rPr>
        <w:t xml:space="preserve"> Director w CTP Poland</w:t>
      </w:r>
      <w:r w:rsidRPr="003D472D">
        <w:rPr>
          <w:i/>
          <w:iCs/>
        </w:rPr>
        <w:t>.</w:t>
      </w:r>
    </w:p>
    <w:p w14:paraId="7DABBCF8" w14:textId="77777777" w:rsidR="007B6B33" w:rsidRDefault="007B6B33"/>
    <w:p w14:paraId="7DABBCF9" w14:textId="77777777" w:rsidR="007B6B33" w:rsidRDefault="00EB5C27">
      <w:pPr>
        <w:rPr>
          <w:b/>
          <w:bCs/>
        </w:rPr>
      </w:pPr>
      <w:r>
        <w:rPr>
          <w:b/>
          <w:bCs/>
        </w:rPr>
        <w:lastRenderedPageBreak/>
        <w:t>Elastyczność i zrównoważony rozwój</w:t>
      </w:r>
    </w:p>
    <w:p w14:paraId="7DABBCFA" w14:textId="77777777" w:rsidR="007B6B33" w:rsidRDefault="007B6B33"/>
    <w:p w14:paraId="7DABBCFB" w14:textId="3CD014CD" w:rsidR="007B6B33" w:rsidRDefault="68D93D7D" w:rsidP="3F9FCAA4">
      <w:r w:rsidRPr="3F9FCAA4">
        <w:t xml:space="preserve"> Projekt w Bydgoszczy opiera się na sprawdzonej koncepcji modułowych hal, które można elastycznie dopasowywać do potrzeb zarówno dużych operatorów, jak i mniejszych firm.</w:t>
      </w:r>
    </w:p>
    <w:p w14:paraId="7DABBCFC" w14:textId="77777777" w:rsidR="007B6B33" w:rsidRDefault="007B6B33"/>
    <w:p w14:paraId="7DABBCFD" w14:textId="0930D79A" w:rsidR="007B6B33" w:rsidRDefault="0CE1828D" w:rsidP="3F9FCAA4">
      <w:r w:rsidRPr="3F9FCAA4">
        <w:t xml:space="preserve">Kompleks zostanie zrealizowany zgodnie z rygorystycznymi standardami środowiskowymi. </w:t>
      </w:r>
      <w:r w:rsidR="00EB5C27">
        <w:t xml:space="preserve">W planach dewelopera jest m.in. montaż instalacji fotowoltaicznych, wdrożenie systemów recyklingu wody, przygotowanie stacji ładowania pojazdów elektrycznych (EV) oraz stworzenie terenów zielonych wspierających bioróżnorodność wokół budynków. Jak zaznacza Piotr Flugel, budując CTPark Bydgoszcz, CTP nie idzie na kompromisy. – </w:t>
      </w:r>
      <w:r w:rsidR="00EB5C27" w:rsidRPr="3F9FCAA4">
        <w:rPr>
          <w:i/>
          <w:iCs/>
        </w:rPr>
        <w:t>Dostarczamy infrastrukturę zaprojektowaną pod kątem maksymalnej efektywności kosztowej i operacyjnej najemców. Rozwiązania takie jak instalacje fotowoltaiczne to u nas standard, a nie opcja dodatkowa</w:t>
      </w:r>
      <w:r w:rsidR="00EB5C27">
        <w:t xml:space="preserve"> – dodaje. </w:t>
      </w:r>
    </w:p>
    <w:p w14:paraId="7DABBCFE" w14:textId="77777777" w:rsidR="007B6B33" w:rsidRDefault="007B6B33">
      <w:pPr>
        <w:ind w:left="720"/>
      </w:pPr>
    </w:p>
    <w:p w14:paraId="7DABBCFF" w14:textId="77777777" w:rsidR="007B6B33" w:rsidRDefault="00EB5C27">
      <w:pPr>
        <w:rPr>
          <w:b/>
          <w:bCs/>
        </w:rPr>
      </w:pPr>
      <w:r>
        <w:rPr>
          <w:b/>
          <w:bCs/>
        </w:rPr>
        <w:t>Region o dużym potencjale kadrowym</w:t>
      </w:r>
    </w:p>
    <w:p w14:paraId="7DABBD00" w14:textId="77777777" w:rsidR="007B6B33" w:rsidRDefault="007B6B33"/>
    <w:p w14:paraId="7DABBD01" w14:textId="39B24E92" w:rsidR="007B6B33" w:rsidRDefault="00EB5C27">
      <w:r>
        <w:t xml:space="preserve">Wybór Bydgoszczy na kolejny punkt na mapie </w:t>
      </w:r>
      <w:r w:rsidR="036217C1">
        <w:t xml:space="preserve">inwetsycji </w:t>
      </w:r>
      <w:r>
        <w:t xml:space="preserve">CTP nie jest przypadkowy. </w:t>
      </w:r>
      <w:r w:rsidR="40270023">
        <w:t xml:space="preserve"> Miasto jest silnym ośrodkiem przemysłowym i finansowym, a jego stabilna gospodarka opiera się na nowoczesnych technologiach, produkcji i logistyce.</w:t>
      </w:r>
    </w:p>
    <w:p w14:paraId="7DABBD02" w14:textId="77777777" w:rsidR="007B6B33" w:rsidRDefault="007B6B33"/>
    <w:p w14:paraId="7DABBD03" w14:textId="553F2F9D" w:rsidR="007B6B33" w:rsidRDefault="00EB5C27">
      <w:r>
        <w:t xml:space="preserve">Park </w:t>
      </w:r>
      <w:r w:rsidR="006C508A">
        <w:t xml:space="preserve">będzie </w:t>
      </w:r>
      <w:r>
        <w:t>zlokalizowany tuż przy granicach administracyjnych miasta, a w promieniu 50 km od inwestycji mieszka aż 460 000 osób. Region charakteryzuje się przy tym konkurencyjnymi kosztami zatrudnienia.</w:t>
      </w:r>
      <w:r w:rsidR="003D472D">
        <w:t xml:space="preserve"> </w:t>
      </w:r>
      <w:r w:rsidR="3E428BB9">
        <w:t>Dostęp do specjalistów wspiera również zaplecze akademickie Bydgoszczy i Torunia, gdzie na 14 uczelniach kształci się obecnie 29 tys. studentów.</w:t>
      </w:r>
    </w:p>
    <w:p w14:paraId="7DABBD04" w14:textId="77777777" w:rsidR="007B6B33" w:rsidRDefault="007B6B33"/>
    <w:p w14:paraId="7DABBD05" w14:textId="77777777" w:rsidR="007B6B33" w:rsidRDefault="00EB5C27">
      <w:pPr>
        <w:ind w:left="720"/>
      </w:pPr>
      <w:r>
        <w:t xml:space="preserve">– Wybierając CTPark Bydgoszcz, nasi najemcy zyskują idealne warunki do optymalizacji swoich procesów operacyjnych. Centralne położenie i rozwinięta infrastruktura drogowa gwarantują płynne połączenia transportowe, co bezpośrednio przekłada się na oszczędność czasu i kosztów. Sam kompleks projektujemy z myślą o zróżnicowanych potrzebach biznesu, łącząc funkcje logistyczno-produkcyjne z formatem miejskiego parku biznesowego. Wdrożenie elastycznych modułów pozwoli na sprawną obsługę lokalnego rynku </w:t>
      </w:r>
      <w:r>
        <w:lastRenderedPageBreak/>
        <w:t xml:space="preserve">i ułatwi codzienną działalność mniejszym przedsiębiorcom – mówi </w:t>
      </w:r>
      <w:r>
        <w:rPr>
          <w:b/>
          <w:bCs/>
        </w:rPr>
        <w:t>Sandra Winiarska, Senior Business Developer w CTP Poland</w:t>
      </w:r>
      <w:r>
        <w:t>.</w:t>
      </w:r>
    </w:p>
    <w:p w14:paraId="7DABBD06" w14:textId="77777777" w:rsidR="007B6B33" w:rsidRDefault="007B6B33"/>
    <w:p w14:paraId="7DABBD07" w14:textId="77777777" w:rsidR="007B6B33" w:rsidRDefault="00EB5C27">
      <w:pPr>
        <w:rPr>
          <w:b/>
          <w:bCs/>
        </w:rPr>
      </w:pPr>
      <w:r>
        <w:rPr>
          <w:b/>
          <w:bCs/>
        </w:rPr>
        <w:t>Brama do rynków krajowych i europejskich</w:t>
      </w:r>
    </w:p>
    <w:p w14:paraId="7DABBD08" w14:textId="77777777" w:rsidR="007B6B33" w:rsidRDefault="007B6B33"/>
    <w:p w14:paraId="7DABBD09" w14:textId="687EDAEF" w:rsidR="007B6B33" w:rsidRDefault="00EB5C27">
      <w:r>
        <w:t xml:space="preserve">Położenie CTPark Bydgoszcz ułatwia budowanie efektywnych łańcuchów dostaw na poziomie krajowym i międzynarodowym. Obiekt </w:t>
      </w:r>
      <w:r w:rsidR="00E477A9">
        <w:t xml:space="preserve">będzie </w:t>
      </w:r>
      <w:r>
        <w:t>znajd</w:t>
      </w:r>
      <w:r w:rsidR="00E477A9">
        <w:t>ował</w:t>
      </w:r>
      <w:r>
        <w:t xml:space="preserve"> się zaledwie 10 km od ścisłego centrum Bydgoszczy, w bezpośrednim sąsiedztwie linii kolejowej.</w:t>
      </w:r>
    </w:p>
    <w:p w14:paraId="7DABBD0A" w14:textId="77777777" w:rsidR="007B6B33" w:rsidRDefault="007B6B33"/>
    <w:p w14:paraId="7DABBD0B" w14:textId="77777777" w:rsidR="007B6B33" w:rsidRDefault="00EB5C27">
      <w:r>
        <w:t xml:space="preserve">Dzięki strategicznej lokalizacji pomiędzy Trójmiastem, Poznaniem a Polską Centralną, park gwarantuje błyskawiczne połączenia z najważniejszymi aglomeracjami i portami morskimi. Odległość do Poznania wynosi 140 km (ok. 1,5 godz. jazdy), do Trójmiasta 174 km (niecałe 2 godz.), a do Łodzi i Warszawy odpowiednio 224 km oraz 318 km. Co kluczowe dla ekspansji zagranicznej, park leży w odległości zaledwie niecałych 200 km od granicy z Niemcami, co czyni go doskonałą bazą do obsługi rynków Europy Zachodniej i całej Unii Europejskiej. </w:t>
      </w:r>
    </w:p>
    <w:p w14:paraId="7DABBD0C" w14:textId="77777777" w:rsidR="007B6B33" w:rsidRDefault="007B6B33"/>
    <w:p w14:paraId="0E3F294E" w14:textId="77777777" w:rsidR="003D472D" w:rsidRDefault="003D472D" w:rsidP="003D472D">
      <w:pPr>
        <w:spacing w:after="120" w:line="276" w:lineRule="auto"/>
      </w:pPr>
      <w:r w:rsidRPr="60B32329">
        <w:rPr>
          <w:rFonts w:ascii="Styrene B Med" w:eastAsia="Styrene B Med" w:hAnsi="Styrene B Med" w:cs="Styrene B Med"/>
          <w:color w:val="E94E1B"/>
          <w:sz w:val="24"/>
          <w:szCs w:val="24"/>
        </w:rPr>
        <w:t>O CTP</w:t>
      </w:r>
    </w:p>
    <w:p w14:paraId="28204824" w14:textId="77777777" w:rsidR="003D472D" w:rsidRDefault="003D472D" w:rsidP="003D472D">
      <w:pPr>
        <w:spacing w:line="278" w:lineRule="auto"/>
      </w:pPr>
      <w:r w:rsidRPr="60B32329">
        <w:t>CTP jest największym notowanym na giełdzie deweloperem, właścicielem i zarządcą nieruchomości logistycznych i przemysłowych w Europie pod względem całkowitej powierzchni najmu (GLA). Na dzień 31 marca 2026 r. portfel spółki obejmował 14,7 mln mkw. GLA w 11 krajach. CTP certyfikuje wszystkie nowe budynki zgodnie ze standardem BREEAM na poziomie „</w:t>
      </w:r>
      <w:proofErr w:type="spellStart"/>
      <w:r w:rsidRPr="60B32329">
        <w:t>Very</w:t>
      </w:r>
      <w:proofErr w:type="spellEnd"/>
      <w:r w:rsidRPr="60B32329">
        <w:t xml:space="preserve"> Good” lub wyższym oraz konsekwentnie uzyskuje wysokie oceny ESG od niezależnych podmiotów, co potwierdza zaangażowanie firmy w prowadzenie zrównoważonego biznesu. Więcej informacji można znaleźć na stronie: </w:t>
      </w:r>
      <w:hyperlink r:id="rId9">
        <w:r w:rsidRPr="60B32329">
          <w:rPr>
            <w:rStyle w:val="Hipercze"/>
          </w:rPr>
          <w:t>https://ctp.eu/</w:t>
        </w:r>
      </w:hyperlink>
    </w:p>
    <w:p w14:paraId="797C5D66" w14:textId="77777777" w:rsidR="003D472D" w:rsidRDefault="003D472D" w:rsidP="003D472D">
      <w:pPr>
        <w:spacing w:line="278" w:lineRule="auto"/>
      </w:pPr>
    </w:p>
    <w:p w14:paraId="33180778" w14:textId="77777777" w:rsidR="003D472D" w:rsidRDefault="003D472D" w:rsidP="003D472D">
      <w:r w:rsidRPr="60B32329">
        <w:t xml:space="preserve">KONTAKT DLA MEDIÓW: </w:t>
      </w:r>
    </w:p>
    <w:p w14:paraId="3BE35259" w14:textId="77777777" w:rsidR="003D472D" w:rsidRDefault="003D472D" w:rsidP="003D472D">
      <w:pPr>
        <w:spacing w:line="278" w:lineRule="auto"/>
      </w:pPr>
      <w:r w:rsidRPr="60B32329">
        <w:rPr>
          <w:lang w:val="en-US"/>
        </w:rPr>
        <w:t>Monika Sadowska – Senior Consultant, Linkleaders</w:t>
      </w:r>
    </w:p>
    <w:p w14:paraId="1ADAEC50" w14:textId="77777777" w:rsidR="003D472D" w:rsidRDefault="003D472D" w:rsidP="003D472D">
      <w:pPr>
        <w:spacing w:line="278" w:lineRule="auto"/>
      </w:pPr>
      <w:r w:rsidRPr="60B32329">
        <w:rPr>
          <w:lang w:val="en-US"/>
        </w:rPr>
        <w:t xml:space="preserve">E: </w:t>
      </w:r>
      <w:hyperlink r:id="rId10">
        <w:r w:rsidRPr="60B32329">
          <w:rPr>
            <w:rStyle w:val="Hipercze"/>
            <w:lang w:val="en-US"/>
          </w:rPr>
          <w:t>monika.sadowska@linkleaders.pl</w:t>
        </w:r>
      </w:hyperlink>
    </w:p>
    <w:p w14:paraId="5BA87395" w14:textId="77777777" w:rsidR="003D472D" w:rsidRDefault="003D472D" w:rsidP="003D472D">
      <w:pPr>
        <w:spacing w:line="278" w:lineRule="auto"/>
      </w:pPr>
      <w:r w:rsidRPr="60B32329">
        <w:rPr>
          <w:lang w:val="en-US"/>
        </w:rPr>
        <w:t xml:space="preserve">M: +48 </w:t>
      </w:r>
      <w:r w:rsidRPr="60B32329">
        <w:t>502 243 620</w:t>
      </w:r>
    </w:p>
    <w:p w14:paraId="6866EFA5" w14:textId="77777777" w:rsidR="003D472D" w:rsidRDefault="003D472D" w:rsidP="003D472D">
      <w:pPr>
        <w:spacing w:line="278" w:lineRule="auto"/>
      </w:pPr>
      <w:r w:rsidRPr="60B32329">
        <w:rPr>
          <w:lang w:val="en-US"/>
        </w:rPr>
        <w:t xml:space="preserve"> </w:t>
      </w:r>
    </w:p>
    <w:p w14:paraId="500488F2" w14:textId="77777777" w:rsidR="003D472D" w:rsidRDefault="003D472D" w:rsidP="003D472D">
      <w:pPr>
        <w:spacing w:line="278" w:lineRule="auto"/>
      </w:pPr>
      <w:r w:rsidRPr="60B32329">
        <w:rPr>
          <w:lang w:val="en-US"/>
        </w:rPr>
        <w:t xml:space="preserve">Important notice about forward looking information </w:t>
      </w:r>
    </w:p>
    <w:p w14:paraId="59069D5B" w14:textId="77777777" w:rsidR="003D472D" w:rsidRDefault="003D472D" w:rsidP="003D472D">
      <w:pPr>
        <w:spacing w:line="278" w:lineRule="auto"/>
      </w:pPr>
      <w:r w:rsidRPr="60B32329">
        <w:rPr>
          <w:lang w:val="en-US"/>
        </w:rPr>
        <w:lastRenderedPageBreak/>
        <w:t>This announcement contains certain forward-looking statements with respect to the financial condition, results of operations and business of CTP. These forward-looking statements may be identified by the use of forward-looking terminology, including the terms "believes", "estimates", "plans", "projects", "anticipates", "expects", "intends", "targets", "may", "aims", "likely", "would", "could", "can have", "will" or "should" or, in each case, their negative or other variations or comparable terminology. Forward-looking statements may and often do differ materially from actual results. As a result, undue influence should not be placed on any forward-looking statement. This press release contains inside information as defined in article 7(1) of Regulation (EU) 596/2014 of 16 April 2014 (the Market Abuse Regulation).</w:t>
      </w:r>
    </w:p>
    <w:p w14:paraId="6DCF860C" w14:textId="77777777" w:rsidR="003D472D" w:rsidRDefault="003D472D" w:rsidP="003D472D">
      <w:pPr>
        <w:spacing w:line="278" w:lineRule="auto"/>
        <w:rPr>
          <w:lang w:val="en-US"/>
        </w:rPr>
      </w:pPr>
    </w:p>
    <w:p w14:paraId="4D5659F8" w14:textId="77777777" w:rsidR="003D472D" w:rsidRDefault="003D472D" w:rsidP="003D472D"/>
    <w:p w14:paraId="7DABBD0D" w14:textId="77777777" w:rsidR="007B6B33" w:rsidRDefault="007B6B33"/>
    <w:p w14:paraId="7DABBD0E" w14:textId="77777777" w:rsidR="007B6B33" w:rsidRDefault="007B6B33"/>
    <w:p w14:paraId="7DABBD0F" w14:textId="77777777" w:rsidR="007B6B33" w:rsidRDefault="007B6B33"/>
    <w:p w14:paraId="7DABBD10" w14:textId="77777777" w:rsidR="007B6B33" w:rsidRDefault="007B6B33"/>
    <w:sectPr w:rsidR="007B6B33">
      <w:headerReference w:type="even" r:id="rId11"/>
      <w:headerReference w:type="default" r:id="rId12"/>
      <w:footerReference w:type="even" r:id="rId13"/>
      <w:footerReference w:type="default" r:id="rId14"/>
      <w:headerReference w:type="first" r:id="rId15"/>
      <w:footerReference w:type="first" r:id="rId16"/>
      <w:pgSz w:w="11900" w:h="16840"/>
      <w:pgMar w:top="2110" w:right="1399" w:bottom="2508" w:left="185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7F6" w14:textId="77777777" w:rsidR="00721FAF" w:rsidRDefault="00721FAF">
      <w:pPr>
        <w:spacing w:after="0" w:line="240" w:lineRule="auto"/>
      </w:pPr>
      <w:r>
        <w:separator/>
      </w:r>
    </w:p>
  </w:endnote>
  <w:endnote w:type="continuationSeparator" w:id="0">
    <w:p w14:paraId="2F1013D2" w14:textId="77777777" w:rsidR="00721FAF" w:rsidRDefault="0072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yrene B Light">
    <w:altName w:val="Calibri"/>
    <w:charset w:val="00"/>
    <w:family w:val="auto"/>
    <w:pitch w:val="variable"/>
    <w:sig w:usb0="A000002F" w:usb1="5000045B" w:usb2="00000000" w:usb3="00000000" w:csb0="00000093" w:csb1="00000000"/>
    <w:embedRegular r:id="rId1" w:fontKey="{780B9D15-DD33-4253-92E5-5941668F2A38}"/>
    <w:embedBold r:id="rId2" w:fontKey="{E8F8FBFE-E8B1-4B40-BDB2-2FF99F3DF73D}"/>
    <w:embedItalic r:id="rId3" w:fontKey="{C12B7969-2877-49D3-A651-4770117F6FF3}"/>
  </w:font>
  <w:font w:name="Styrene B Med">
    <w:altName w:val="Calibri"/>
    <w:charset w:val="00"/>
    <w:family w:val="auto"/>
    <w:pitch w:val="variable"/>
    <w:sig w:usb0="A000002F" w:usb1="5000045B" w:usb2="00000000" w:usb3="00000000" w:csb0="00000093" w:csb1="00000000"/>
  </w:font>
  <w:font w:name="Styrene B">
    <w:charset w:val="00"/>
    <w:family w:val="auto"/>
    <w:pitch w:val="variable"/>
    <w:sig w:usb0="A000002F" w:usb1="500004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tyrene A">
    <w:charset w:val="00"/>
    <w:family w:val="auto"/>
    <w:pitch w:val="variable"/>
    <w:sig w:usb0="A000002F" w:usb1="5000045B" w:usb2="00000000" w:usb3="00000000" w:csb0="00000093" w:csb1="00000000"/>
    <w:embedRegular r:id="rId4" w:fontKey="{26259F25-838B-4CD8-A683-9EABD86B4262}"/>
    <w:embedBold r:id="rId5" w:fontKey="{9C91766B-97AB-4CD1-9E50-E6E6EAD76ED1}"/>
  </w:font>
  <w:font w:name="Styrene A Light">
    <w:altName w:val="Calibri"/>
    <w:charset w:val="00"/>
    <w:family w:val="auto"/>
    <w:pitch w:val="variable"/>
    <w:sig w:usb0="A000002F" w:usb1="500004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D5E6B473-C47E-416D-B091-873B05E476EB}"/>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7" w:fontKey="{EB293747-CD89-4B6C-BF0D-78E8008E3E8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BD13" w14:textId="77777777" w:rsidR="007B6B33" w:rsidRDefault="00EB5C27">
    <w:pPr>
      <w:pBdr>
        <w:top w:val="nil"/>
        <w:left w:val="nil"/>
        <w:bottom w:val="nil"/>
        <w:right w:val="nil"/>
        <w:between w:val="nil"/>
      </w:pBdr>
      <w:tabs>
        <w:tab w:val="center" w:pos="4536"/>
        <w:tab w:val="right" w:pos="9072"/>
      </w:tabs>
      <w:spacing w:after="120" w:line="276" w:lineRule="auto"/>
      <w:jc w:val="center"/>
      <w:rPr>
        <w:color w:val="434D4B"/>
        <w:sz w:val="22"/>
        <w:szCs w:val="22"/>
      </w:rPr>
    </w:pPr>
    <w:r>
      <w:rPr>
        <w:color w:val="434D4B"/>
        <w:sz w:val="22"/>
        <w:szCs w:val="22"/>
      </w:rPr>
      <w:fldChar w:fldCharType="begin"/>
    </w:r>
    <w:r>
      <w:rPr>
        <w:color w:val="434D4B"/>
        <w:sz w:val="22"/>
        <w:szCs w:val="22"/>
      </w:rPr>
      <w:instrText>PAGE</w:instrText>
    </w:r>
    <w:r>
      <w:rPr>
        <w:color w:val="434D4B"/>
        <w:sz w:val="22"/>
        <w:szCs w:val="22"/>
      </w:rPr>
      <w:fldChar w:fldCharType="separate"/>
    </w:r>
    <w:r>
      <w:rPr>
        <w:color w:val="434D4B"/>
        <w:sz w:val="22"/>
        <w:szCs w:val="22"/>
      </w:rPr>
      <w:fldChar w:fldCharType="end"/>
    </w:r>
  </w:p>
  <w:p w14:paraId="7DABBD14" w14:textId="77777777" w:rsidR="007B6B33" w:rsidRDefault="007B6B33">
    <w:pPr>
      <w:pBdr>
        <w:top w:val="nil"/>
        <w:left w:val="nil"/>
        <w:bottom w:val="nil"/>
        <w:right w:val="nil"/>
        <w:between w:val="nil"/>
      </w:pBdr>
      <w:tabs>
        <w:tab w:val="center" w:pos="4536"/>
        <w:tab w:val="right" w:pos="9072"/>
      </w:tabs>
      <w:spacing w:after="120" w:line="276" w:lineRule="auto"/>
      <w:rPr>
        <w:color w:val="434D4B"/>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BD15" w14:textId="77777777" w:rsidR="007B6B33" w:rsidRDefault="00EB5C27">
    <w:pPr>
      <w:pBdr>
        <w:top w:val="nil"/>
        <w:left w:val="nil"/>
        <w:bottom w:val="nil"/>
        <w:right w:val="nil"/>
        <w:between w:val="nil"/>
      </w:pBdr>
      <w:tabs>
        <w:tab w:val="center" w:pos="4536"/>
        <w:tab w:val="right" w:pos="9072"/>
      </w:tabs>
      <w:spacing w:after="120" w:line="276" w:lineRule="auto"/>
      <w:rPr>
        <w:color w:val="434D4B"/>
        <w:sz w:val="22"/>
        <w:szCs w:val="22"/>
      </w:rPr>
    </w:pPr>
    <w:r>
      <w:rPr>
        <w:noProof/>
      </w:rPr>
      <mc:AlternateContent>
        <mc:Choice Requires="wps">
          <w:drawing>
            <wp:anchor distT="0" distB="0" distL="114300" distR="114300" simplePos="0" relativeHeight="251658241" behindDoc="0" locked="0" layoutInCell="1" hidden="0" allowOverlap="1" wp14:anchorId="7DABBD1A" wp14:editId="7DABBD1B">
              <wp:simplePos x="0" y="0"/>
              <wp:positionH relativeFrom="column">
                <wp:posOffset>-871844</wp:posOffset>
              </wp:positionH>
              <wp:positionV relativeFrom="paragraph">
                <wp:posOffset>9646490</wp:posOffset>
              </wp:positionV>
              <wp:extent cx="1408430" cy="814705"/>
              <wp:effectExtent l="0" t="0" r="0" b="0"/>
              <wp:wrapNone/>
              <wp:docPr id="2" name="Rectangle 2"/>
              <wp:cNvGraphicFramePr/>
              <a:graphic xmlns:a="http://schemas.openxmlformats.org/drawingml/2006/main">
                <a:graphicData uri="http://schemas.microsoft.com/office/word/2010/wordprocessingShape">
                  <wps:wsp>
                    <wps:cNvSpPr/>
                    <wps:spPr>
                      <a:xfrm>
                        <a:off x="4670360" y="3401223"/>
                        <a:ext cx="1351280" cy="757555"/>
                      </a:xfrm>
                      <a:prstGeom prst="rect">
                        <a:avLst/>
                      </a:prstGeom>
                      <a:noFill/>
                      <a:ln>
                        <a:noFill/>
                      </a:ln>
                    </wps:spPr>
                    <wps:txbx>
                      <w:txbxContent>
                        <w:p w14:paraId="7DABBD20" w14:textId="77777777" w:rsidR="007B6B33" w:rsidRDefault="00EB5C27">
                          <w:pPr>
                            <w:spacing w:line="240" w:lineRule="auto"/>
                            <w:textDirection w:val="btLr"/>
                          </w:pPr>
                          <w:r>
                            <w:rPr>
                              <w:rFonts w:ascii="Styrene A" w:eastAsia="Styrene A" w:hAnsi="Styrene A" w:cs="Styrene A"/>
                              <w:sz w:val="11"/>
                            </w:rPr>
                            <w:t>CTP</w:t>
                          </w:r>
                        </w:p>
                        <w:p w14:paraId="7DABBD21" w14:textId="77777777" w:rsidR="007B6B33" w:rsidRDefault="00EB5C27">
                          <w:pPr>
                            <w:spacing w:after="0" w:line="240" w:lineRule="auto"/>
                            <w:textDirection w:val="btLr"/>
                          </w:pPr>
                          <w:r>
                            <w:rPr>
                              <w:sz w:val="12"/>
                            </w:rPr>
                            <w:t>Chmielna 69</w:t>
                          </w:r>
                        </w:p>
                        <w:p w14:paraId="7DABBD22" w14:textId="77777777" w:rsidR="007B6B33" w:rsidRDefault="00EB5C27">
                          <w:pPr>
                            <w:spacing w:after="0" w:line="240" w:lineRule="auto"/>
                            <w:textDirection w:val="btLr"/>
                          </w:pPr>
                          <w:r>
                            <w:rPr>
                              <w:sz w:val="12"/>
                            </w:rPr>
                            <w:t>00-801 Warszawa</w:t>
                          </w:r>
                        </w:p>
                        <w:p w14:paraId="7DABBD23" w14:textId="77777777" w:rsidR="007B6B33" w:rsidRDefault="00EB5C27">
                          <w:pPr>
                            <w:spacing w:after="0" w:line="240" w:lineRule="auto"/>
                            <w:textDirection w:val="btLr"/>
                          </w:pPr>
                          <w:r>
                            <w:rPr>
                              <w:sz w:val="12"/>
                            </w:rPr>
                            <w:t>Polska</w:t>
                          </w:r>
                        </w:p>
                        <w:p w14:paraId="7DABBD24" w14:textId="77777777" w:rsidR="007B6B33" w:rsidRDefault="00EB5C27">
                          <w:pPr>
                            <w:spacing w:after="0" w:line="240" w:lineRule="auto"/>
                            <w:textDirection w:val="btLr"/>
                          </w:pPr>
                          <w:r>
                            <w:rPr>
                              <w:sz w:val="12"/>
                            </w:rPr>
                            <w:t>ctp.eu</w:t>
                          </w:r>
                        </w:p>
                      </w:txbxContent>
                    </wps:txbx>
                    <wps:bodyPr spcFirstLastPara="1" wrap="square" lIns="91425" tIns="45700" rIns="91425" bIns="45700" anchor="t" anchorCtr="0">
                      <a:noAutofit/>
                    </wps:bodyPr>
                  </wps:wsp>
                </a:graphicData>
              </a:graphic>
            </wp:anchor>
          </w:drawing>
        </mc:Choice>
        <mc:Fallback>
          <w:pict>
            <v:rect w14:anchorId="7DABBD1A" id="Rectangle 2" o:spid="_x0000_s1026" style="position:absolute;margin-left:-68.65pt;margin-top:759.55pt;width:110.9pt;height:64.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" filled="f" stroked="f">
              <v:textbox inset="2.53958mm,1.2694mm,2.53958mm,1.2694mm">
                <w:txbxContent>
                  <w:p w14:paraId="7DABBD20" w14:textId="77777777" w:rsidR="007B6B33" w:rsidRDefault="00EB5C27">
                    <w:pPr>
                      <w:spacing w:line="240" w:lineRule="auto"/>
                      <w:textDirection w:val="btLr"/>
                    </w:pPr>
                    <w:r>
                      <w:rPr>
                        <w:rFonts w:ascii="Styrene A" w:eastAsia="Styrene A" w:hAnsi="Styrene A" w:cs="Styrene A"/>
                        <w:sz w:val="11"/>
                      </w:rPr>
                      <w:t>CTP</w:t>
                    </w:r>
                  </w:p>
                  <w:p w14:paraId="7DABBD21" w14:textId="77777777" w:rsidR="007B6B33" w:rsidRDefault="00EB5C27">
                    <w:pPr>
                      <w:spacing w:after="0" w:line="240" w:lineRule="auto"/>
                      <w:textDirection w:val="btLr"/>
                    </w:pPr>
                    <w:r>
                      <w:rPr>
                        <w:sz w:val="12"/>
                      </w:rPr>
                      <w:t>Chmielna 69</w:t>
                    </w:r>
                  </w:p>
                  <w:p w14:paraId="7DABBD22" w14:textId="77777777" w:rsidR="007B6B33" w:rsidRDefault="00EB5C27">
                    <w:pPr>
                      <w:spacing w:after="0" w:line="240" w:lineRule="auto"/>
                      <w:textDirection w:val="btLr"/>
                    </w:pPr>
                    <w:r>
                      <w:rPr>
                        <w:sz w:val="12"/>
                      </w:rPr>
                      <w:t>00-801 Warszawa</w:t>
                    </w:r>
                  </w:p>
                  <w:p w14:paraId="7DABBD23" w14:textId="77777777" w:rsidR="007B6B33" w:rsidRDefault="00EB5C27">
                    <w:pPr>
                      <w:spacing w:after="0" w:line="240" w:lineRule="auto"/>
                      <w:textDirection w:val="btLr"/>
                    </w:pPr>
                    <w:r>
                      <w:rPr>
                        <w:sz w:val="12"/>
                      </w:rPr>
                      <w:t>Polska</w:t>
                    </w:r>
                  </w:p>
                  <w:p w14:paraId="7DABBD24" w14:textId="77777777" w:rsidR="007B6B33" w:rsidRDefault="00EB5C27">
                    <w:pPr>
                      <w:spacing w:after="0" w:line="240" w:lineRule="auto"/>
                      <w:textDirection w:val="btLr"/>
                    </w:pPr>
                    <w:r>
                      <w:rPr>
                        <w:sz w:val="12"/>
                      </w:rPr>
                      <w:t>ctp.eu</w:t>
                    </w:r>
                  </w:p>
                </w:txbxContent>
              </v:textbox>
            </v:rect>
          </w:pict>
        </mc:Fallback>
      </mc:AlternateContent>
    </w:r>
    <w:r>
      <w:rPr>
        <w:noProof/>
      </w:rPr>
      <mc:AlternateContent>
        <mc:Choice Requires="wps">
          <w:drawing>
            <wp:anchor distT="0" distB="0" distL="114300" distR="114300" simplePos="0" relativeHeight="251658242" behindDoc="0" locked="0" layoutInCell="1" hidden="0" allowOverlap="1" wp14:anchorId="7DABBD1C" wp14:editId="7DABBD1D">
              <wp:simplePos x="0" y="0"/>
              <wp:positionH relativeFrom="column">
                <wp:posOffset>939457</wp:posOffset>
              </wp:positionH>
              <wp:positionV relativeFrom="paragraph">
                <wp:posOffset>9825844</wp:posOffset>
              </wp:positionV>
              <wp:extent cx="1408430" cy="275200"/>
              <wp:effectExtent l="0" t="0" r="0" b="0"/>
              <wp:wrapNone/>
              <wp:docPr id="1" name="Rectangle 1"/>
              <wp:cNvGraphicFramePr/>
              <a:graphic xmlns:a="http://schemas.openxmlformats.org/drawingml/2006/main">
                <a:graphicData uri="http://schemas.microsoft.com/office/word/2010/wordprocessingShape">
                  <wps:wsp>
                    <wps:cNvSpPr/>
                    <wps:spPr>
                      <a:xfrm>
                        <a:off x="4670360" y="3670975"/>
                        <a:ext cx="1351280" cy="218050"/>
                      </a:xfrm>
                      <a:prstGeom prst="rect">
                        <a:avLst/>
                      </a:prstGeom>
                      <a:noFill/>
                      <a:ln>
                        <a:noFill/>
                      </a:ln>
                    </wps:spPr>
                    <wps:txbx>
                      <w:txbxContent>
                        <w:p w14:paraId="7DABBD25" w14:textId="77777777" w:rsidR="007B6B33" w:rsidRDefault="00EB5C27">
                          <w:pPr>
                            <w:spacing w:line="240" w:lineRule="auto"/>
                            <w:textDirection w:val="btLr"/>
                          </w:pPr>
                          <w:r>
                            <w:rPr>
                              <w:rFonts w:ascii="Styrene A" w:eastAsia="Styrene A" w:hAnsi="Styrene A" w:cs="Styrene A"/>
                              <w:sz w:val="11"/>
                            </w:rPr>
                            <w:t>T:</w:t>
                          </w:r>
                          <w:r>
                            <w:rPr>
                              <w:sz w:val="12"/>
                            </w:rPr>
                            <w:t xml:space="preserve"> 48 532 566 714</w:t>
                          </w:r>
                        </w:p>
                      </w:txbxContent>
                    </wps:txbx>
                    <wps:bodyPr spcFirstLastPara="1" wrap="square" lIns="91425" tIns="45700" rIns="91425" bIns="45700" anchor="t" anchorCtr="0">
                      <a:noAutofit/>
                    </wps:bodyPr>
                  </wps:wsp>
                </a:graphicData>
              </a:graphic>
            </wp:anchor>
          </w:drawing>
        </mc:Choice>
        <mc:Fallback>
          <w:pict>
            <v:rect w14:anchorId="7DABBD1C" id="Rectangle 1" o:spid="_x0000_s1027" style="position:absolute;margin-left:73.95pt;margin-top:773.7pt;width:110.9pt;height:21.6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" filled="f" stroked="f">
              <v:textbox inset="2.53958mm,1.2694mm,2.53958mm,1.2694mm">
                <w:txbxContent>
                  <w:p w14:paraId="7DABBD25" w14:textId="77777777" w:rsidR="007B6B33" w:rsidRDefault="00EB5C27">
                    <w:pPr>
                      <w:spacing w:line="240" w:lineRule="auto"/>
                      <w:textDirection w:val="btLr"/>
                    </w:pPr>
                    <w:r>
                      <w:rPr>
                        <w:rFonts w:ascii="Styrene A" w:eastAsia="Styrene A" w:hAnsi="Styrene A" w:cs="Styrene A"/>
                        <w:sz w:val="11"/>
                      </w:rPr>
                      <w:t>T:</w:t>
                    </w:r>
                    <w:r>
                      <w:rPr>
                        <w:sz w:val="12"/>
                      </w:rPr>
                      <w:t xml:space="preserve"> 48 532 566 714</w:t>
                    </w:r>
                  </w:p>
                </w:txbxContent>
              </v:textbox>
            </v:rect>
          </w:pict>
        </mc:Fallback>
      </mc:AlternateContent>
    </w:r>
    <w:r>
      <w:rPr>
        <w:noProof/>
      </w:rPr>
      <mc:AlternateContent>
        <mc:Choice Requires="wps">
          <w:drawing>
            <wp:anchor distT="0" distB="0" distL="114300" distR="114300" simplePos="0" relativeHeight="251658243" behindDoc="0" locked="0" layoutInCell="1" hidden="0" allowOverlap="1" wp14:anchorId="7DABBD1E" wp14:editId="7DABBD1F">
              <wp:simplePos x="0" y="0"/>
              <wp:positionH relativeFrom="column">
                <wp:posOffset>-485134</wp:posOffset>
              </wp:positionH>
              <wp:positionV relativeFrom="paragraph">
                <wp:posOffset>-495927</wp:posOffset>
              </wp:positionV>
              <wp:extent cx="1506855" cy="986790"/>
              <wp:effectExtent l="0" t="0" r="0" b="0"/>
              <wp:wrapNone/>
              <wp:docPr id="3" name="Rectangle 3"/>
              <wp:cNvGraphicFramePr/>
              <a:graphic xmlns:a="http://schemas.openxmlformats.org/drawingml/2006/main">
                <a:graphicData uri="http://schemas.microsoft.com/office/word/2010/wordprocessingShape">
                  <wps:wsp>
                    <wps:cNvSpPr/>
                    <wps:spPr>
                      <a:xfrm>
                        <a:off x="4611623" y="3305655"/>
                        <a:ext cx="1468755" cy="948690"/>
                      </a:xfrm>
                      <a:prstGeom prst="rect">
                        <a:avLst/>
                      </a:prstGeom>
                      <a:noFill/>
                      <a:ln>
                        <a:noFill/>
                      </a:ln>
                    </wps:spPr>
                    <wps:txbx>
                      <w:txbxContent>
                        <w:p w14:paraId="7DABBD26" w14:textId="77777777" w:rsidR="007B6B33" w:rsidRDefault="00EB5C27">
                          <w:pPr>
                            <w:spacing w:after="0" w:line="288" w:lineRule="auto"/>
                            <w:textDirection w:val="btLr"/>
                          </w:pPr>
                          <w:r>
                            <w:rPr>
                              <w:rFonts w:ascii="Styrene A" w:eastAsia="Styrene A" w:hAnsi="Styrene A" w:cs="Styrene A"/>
                              <w:b/>
                              <w:color w:val="000D0D"/>
                              <w:sz w:val="10"/>
                            </w:rPr>
                            <w:t>CTP</w:t>
                          </w:r>
                        </w:p>
                        <w:p w14:paraId="7DABBD27" w14:textId="77777777" w:rsidR="007B6B33" w:rsidRDefault="00EB5C27">
                          <w:pPr>
                            <w:spacing w:after="0" w:line="240" w:lineRule="auto"/>
                            <w:textDirection w:val="btLr"/>
                          </w:pPr>
                          <w:r>
                            <w:rPr>
                              <w:rFonts w:ascii="Styrene A Light" w:eastAsia="Styrene A Light" w:hAnsi="Styrene A Light" w:cs="Styrene A Light"/>
                              <w:color w:val="000D0D"/>
                              <w:sz w:val="12"/>
                            </w:rPr>
                            <w:t>CTP Invest Poland sp. z o. o.</w:t>
                          </w:r>
                        </w:p>
                        <w:p w14:paraId="7DABBD28" w14:textId="77777777" w:rsidR="007B6B33" w:rsidRDefault="00EB5C27">
                          <w:pPr>
                            <w:spacing w:after="0" w:line="240" w:lineRule="auto"/>
                            <w:textDirection w:val="btLr"/>
                          </w:pPr>
                          <w:r>
                            <w:rPr>
                              <w:rFonts w:ascii="Styrene A Light" w:eastAsia="Styrene A Light" w:hAnsi="Styrene A Light" w:cs="Styrene A Light"/>
                              <w:color w:val="000D0D"/>
                              <w:sz w:val="12"/>
                            </w:rPr>
                            <w:t xml:space="preserve">Chmielna 69, </w:t>
                          </w:r>
                          <w:r>
                            <w:rPr>
                              <w:rFonts w:ascii="Styrene A Light" w:eastAsia="Styrene A Light" w:hAnsi="Styrene A Light" w:cs="Styrene A Light"/>
                              <w:color w:val="000D0D"/>
                              <w:sz w:val="12"/>
                            </w:rPr>
                            <w:br/>
                            <w:t>00-801 Warszawa</w:t>
                          </w:r>
                        </w:p>
                        <w:p w14:paraId="7DABBD29" w14:textId="77777777" w:rsidR="007B6B33" w:rsidRDefault="00EB5C27">
                          <w:pPr>
                            <w:spacing w:after="0" w:line="240" w:lineRule="auto"/>
                            <w:textDirection w:val="btLr"/>
                          </w:pPr>
                          <w:r>
                            <w:rPr>
                              <w:rFonts w:ascii="Styrene A Light" w:eastAsia="Styrene A Light" w:hAnsi="Styrene A Light" w:cs="Styrene A Light"/>
                              <w:color w:val="000D0D"/>
                              <w:sz w:val="12"/>
                            </w:rPr>
                            <w:t>Poland</w:t>
                          </w:r>
                        </w:p>
                        <w:p w14:paraId="7DABBD2A" w14:textId="77777777" w:rsidR="007B6B33" w:rsidRDefault="00EB5C27">
                          <w:pPr>
                            <w:spacing w:after="0" w:line="240" w:lineRule="auto"/>
                            <w:textDirection w:val="btLr"/>
                          </w:pPr>
                          <w:r>
                            <w:rPr>
                              <w:rFonts w:ascii="Styrene A Light" w:eastAsia="Styrene A Light" w:hAnsi="Styrene A Light" w:cs="Styrene A Light"/>
                              <w:color w:val="000D0D"/>
                              <w:sz w:val="12"/>
                            </w:rPr>
                            <w:t>ctp</w:t>
                          </w:r>
                          <w:r>
                            <w:rPr>
                              <w:color w:val="000000"/>
                              <w:sz w:val="12"/>
                            </w:rPr>
                            <w:t>.eu</w:t>
                          </w:r>
                        </w:p>
                        <w:p w14:paraId="7DABBD2B" w14:textId="77777777" w:rsidR="007B6B33" w:rsidRDefault="007B6B33">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7DABBD1E" id="Rectangle 3" o:spid="_x0000_s1028" style="position:absolute;margin-left:-38.2pt;margin-top:-39.05pt;width:118.65pt;height:77.7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" filled="f" stroked="f">
              <v:textbox inset="2.53958mm,1.2694mm,2.53958mm,1.2694mm">
                <w:txbxContent>
                  <w:p w14:paraId="7DABBD26" w14:textId="77777777" w:rsidR="007B6B33" w:rsidRDefault="00EB5C27">
                    <w:pPr>
                      <w:spacing w:after="0" w:line="288" w:lineRule="auto"/>
                      <w:textDirection w:val="btLr"/>
                    </w:pPr>
                    <w:r>
                      <w:rPr>
                        <w:rFonts w:ascii="Styrene A" w:eastAsia="Styrene A" w:hAnsi="Styrene A" w:cs="Styrene A"/>
                        <w:b/>
                        <w:color w:val="000D0D"/>
                        <w:sz w:val="10"/>
                      </w:rPr>
                      <w:t>CTP</w:t>
                    </w:r>
                  </w:p>
                  <w:p w14:paraId="7DABBD27" w14:textId="77777777" w:rsidR="007B6B33" w:rsidRDefault="00EB5C27">
                    <w:pPr>
                      <w:spacing w:after="0" w:line="240" w:lineRule="auto"/>
                      <w:textDirection w:val="btLr"/>
                    </w:pPr>
                    <w:r>
                      <w:rPr>
                        <w:rFonts w:ascii="Styrene A Light" w:eastAsia="Styrene A Light" w:hAnsi="Styrene A Light" w:cs="Styrene A Light"/>
                        <w:color w:val="000D0D"/>
                        <w:sz w:val="12"/>
                      </w:rPr>
                      <w:t>CTP Invest Poland sp. z o. o.</w:t>
                    </w:r>
                  </w:p>
                  <w:p w14:paraId="7DABBD28" w14:textId="77777777" w:rsidR="007B6B33" w:rsidRDefault="00EB5C27">
                    <w:pPr>
                      <w:spacing w:after="0" w:line="240" w:lineRule="auto"/>
                      <w:textDirection w:val="btLr"/>
                    </w:pPr>
                    <w:r>
                      <w:rPr>
                        <w:rFonts w:ascii="Styrene A Light" w:eastAsia="Styrene A Light" w:hAnsi="Styrene A Light" w:cs="Styrene A Light"/>
                        <w:color w:val="000D0D"/>
                        <w:sz w:val="12"/>
                      </w:rPr>
                      <w:t xml:space="preserve">Chmielna 69, </w:t>
                    </w:r>
                    <w:r>
                      <w:rPr>
                        <w:rFonts w:ascii="Styrene A Light" w:eastAsia="Styrene A Light" w:hAnsi="Styrene A Light" w:cs="Styrene A Light"/>
                        <w:color w:val="000D0D"/>
                        <w:sz w:val="12"/>
                      </w:rPr>
                      <w:br/>
                      <w:t>00-801 Warszawa</w:t>
                    </w:r>
                  </w:p>
                  <w:p w14:paraId="7DABBD29" w14:textId="77777777" w:rsidR="007B6B33" w:rsidRDefault="00EB5C27">
                    <w:pPr>
                      <w:spacing w:after="0" w:line="240" w:lineRule="auto"/>
                      <w:textDirection w:val="btLr"/>
                    </w:pPr>
                    <w:r>
                      <w:rPr>
                        <w:rFonts w:ascii="Styrene A Light" w:eastAsia="Styrene A Light" w:hAnsi="Styrene A Light" w:cs="Styrene A Light"/>
                        <w:color w:val="000D0D"/>
                        <w:sz w:val="12"/>
                      </w:rPr>
                      <w:t>Poland</w:t>
                    </w:r>
                  </w:p>
                  <w:p w14:paraId="7DABBD2A" w14:textId="77777777" w:rsidR="007B6B33" w:rsidRDefault="00EB5C27">
                    <w:pPr>
                      <w:spacing w:after="0" w:line="240" w:lineRule="auto"/>
                      <w:textDirection w:val="btLr"/>
                    </w:pPr>
                    <w:r>
                      <w:rPr>
                        <w:rFonts w:ascii="Styrene A Light" w:eastAsia="Styrene A Light" w:hAnsi="Styrene A Light" w:cs="Styrene A Light"/>
                        <w:color w:val="000D0D"/>
                        <w:sz w:val="12"/>
                      </w:rPr>
                      <w:t>ctp</w:t>
                    </w:r>
                    <w:r>
                      <w:rPr>
                        <w:color w:val="000000"/>
                        <w:sz w:val="12"/>
                      </w:rPr>
                      <w:t>.eu</w:t>
                    </w:r>
                  </w:p>
                  <w:p w14:paraId="7DABBD2B" w14:textId="77777777" w:rsidR="007B6B33" w:rsidRDefault="007B6B33">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BD17" w14:textId="77777777" w:rsidR="007B6B33" w:rsidRDefault="007B6B33">
    <w:pPr>
      <w:pBdr>
        <w:top w:val="nil"/>
        <w:left w:val="nil"/>
        <w:bottom w:val="nil"/>
        <w:right w:val="nil"/>
        <w:between w:val="nil"/>
      </w:pBdr>
      <w:tabs>
        <w:tab w:val="center" w:pos="4536"/>
        <w:tab w:val="right" w:pos="9072"/>
      </w:tabs>
      <w:spacing w:after="120" w:line="276" w:lineRule="auto"/>
      <w:rPr>
        <w:color w:val="434D4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4CBF" w14:textId="77777777" w:rsidR="00721FAF" w:rsidRDefault="00721FAF">
      <w:pPr>
        <w:spacing w:after="0" w:line="240" w:lineRule="auto"/>
      </w:pPr>
      <w:r>
        <w:separator/>
      </w:r>
    </w:p>
  </w:footnote>
  <w:footnote w:type="continuationSeparator" w:id="0">
    <w:p w14:paraId="5043C252" w14:textId="77777777" w:rsidR="00721FAF" w:rsidRDefault="00721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BD11" w14:textId="77777777" w:rsidR="007B6B33" w:rsidRDefault="007B6B33">
    <w:pPr>
      <w:pBdr>
        <w:top w:val="nil"/>
        <w:left w:val="nil"/>
        <w:bottom w:val="nil"/>
        <w:right w:val="nil"/>
        <w:between w:val="nil"/>
      </w:pBdr>
      <w:tabs>
        <w:tab w:val="center" w:pos="4536"/>
        <w:tab w:val="right" w:pos="9072"/>
      </w:tabs>
      <w:spacing w:after="120" w:line="276" w:lineRule="auto"/>
      <w:rPr>
        <w:color w:val="434D4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BD12" w14:textId="77777777" w:rsidR="007B6B33" w:rsidRDefault="00EB5C27">
    <w:pPr>
      <w:pBdr>
        <w:top w:val="nil"/>
        <w:left w:val="nil"/>
        <w:bottom w:val="nil"/>
        <w:right w:val="nil"/>
        <w:between w:val="nil"/>
      </w:pBdr>
      <w:tabs>
        <w:tab w:val="center" w:pos="4536"/>
        <w:tab w:val="right" w:pos="9072"/>
      </w:tabs>
      <w:spacing w:after="120" w:line="276" w:lineRule="auto"/>
      <w:rPr>
        <w:color w:val="434D4B"/>
        <w:sz w:val="22"/>
        <w:szCs w:val="22"/>
      </w:rPr>
    </w:pPr>
    <w:r>
      <w:rPr>
        <w:noProof/>
        <w:color w:val="434D4B"/>
        <w:sz w:val="22"/>
        <w:szCs w:val="22"/>
      </w:rPr>
      <w:drawing>
        <wp:anchor distT="0" distB="0" distL="0" distR="0" simplePos="0" relativeHeight="251658240" behindDoc="1" locked="0" layoutInCell="1" hidden="0" allowOverlap="1" wp14:anchorId="7DABBD18" wp14:editId="7DABBD19">
          <wp:simplePos x="0" y="0"/>
          <wp:positionH relativeFrom="page">
            <wp:posOffset>13970</wp:posOffset>
          </wp:positionH>
          <wp:positionV relativeFrom="page">
            <wp:posOffset>0</wp:posOffset>
          </wp:positionV>
          <wp:extent cx="7522845" cy="1064387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22845" cy="106438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BD16" w14:textId="77777777" w:rsidR="007B6B33" w:rsidRDefault="007B6B33">
    <w:pPr>
      <w:pBdr>
        <w:top w:val="nil"/>
        <w:left w:val="nil"/>
        <w:bottom w:val="nil"/>
        <w:right w:val="nil"/>
        <w:between w:val="nil"/>
      </w:pBdr>
      <w:tabs>
        <w:tab w:val="center" w:pos="4536"/>
        <w:tab w:val="right" w:pos="9072"/>
      </w:tabs>
      <w:spacing w:after="120" w:line="276" w:lineRule="auto"/>
      <w:rPr>
        <w:color w:val="434D4B"/>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33"/>
    <w:rsid w:val="00055DBB"/>
    <w:rsid w:val="000B5174"/>
    <w:rsid w:val="000E46E7"/>
    <w:rsid w:val="00112A8C"/>
    <w:rsid w:val="002B0375"/>
    <w:rsid w:val="003D472D"/>
    <w:rsid w:val="0051296D"/>
    <w:rsid w:val="006C508A"/>
    <w:rsid w:val="00721FAF"/>
    <w:rsid w:val="00767BC1"/>
    <w:rsid w:val="007920CB"/>
    <w:rsid w:val="007B6B33"/>
    <w:rsid w:val="00A40A14"/>
    <w:rsid w:val="00B22EE5"/>
    <w:rsid w:val="00B555EA"/>
    <w:rsid w:val="00BC5EDD"/>
    <w:rsid w:val="00D775DA"/>
    <w:rsid w:val="00D87BBF"/>
    <w:rsid w:val="00DF23D8"/>
    <w:rsid w:val="00E21D5C"/>
    <w:rsid w:val="00E477A9"/>
    <w:rsid w:val="00EB5C27"/>
    <w:rsid w:val="00F91D1D"/>
    <w:rsid w:val="036217C1"/>
    <w:rsid w:val="0CE1828D"/>
    <w:rsid w:val="15EB1017"/>
    <w:rsid w:val="2CC167F4"/>
    <w:rsid w:val="35F5C150"/>
    <w:rsid w:val="39192605"/>
    <w:rsid w:val="39305E57"/>
    <w:rsid w:val="3E428BB9"/>
    <w:rsid w:val="3F9FCAA4"/>
    <w:rsid w:val="40270023"/>
    <w:rsid w:val="4E9175E3"/>
    <w:rsid w:val="4F0DFE25"/>
    <w:rsid w:val="54942489"/>
    <w:rsid w:val="68D93D7D"/>
    <w:rsid w:val="790DB1A9"/>
    <w:rsid w:val="7ED4FA3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BCEE"/>
  <w15:docId w15:val="{02454409-7F57-4543-BF34-F5CE0D52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tyrene B Light" w:eastAsia="Styrene B Light" w:hAnsi="Styrene B Light" w:cs="Styrene B Light"/>
        <w:color w:val="515151"/>
        <w:sz w:val="21"/>
        <w:szCs w:val="21"/>
        <w:lang w:val="pl" w:eastAsia="pl-PL" w:bidi="ar-SA"/>
      </w:rPr>
    </w:rPrDefault>
    <w:pPrDefault>
      <w:pPr>
        <w:spacing w:after="80"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472D"/>
  </w:style>
  <w:style w:type="paragraph" w:styleId="Nagwek1">
    <w:name w:val="heading 1"/>
    <w:basedOn w:val="Normalny"/>
    <w:next w:val="Normalny"/>
    <w:uiPriority w:val="9"/>
    <w:qFormat/>
    <w:pPr>
      <w:spacing w:before="600" w:after="0" w:line="360" w:lineRule="auto"/>
      <w:outlineLvl w:val="0"/>
    </w:pPr>
    <w:rPr>
      <w:rFonts w:ascii="Styrene B Med" w:eastAsia="Styrene B Med" w:hAnsi="Styrene B Med" w:cs="Styrene B Med"/>
      <w:color w:val="434D4B"/>
      <w:sz w:val="32"/>
      <w:szCs w:val="32"/>
    </w:rPr>
  </w:style>
  <w:style w:type="paragraph" w:styleId="Nagwek2">
    <w:name w:val="heading 2"/>
    <w:basedOn w:val="Normalny"/>
    <w:next w:val="Normalny"/>
    <w:uiPriority w:val="9"/>
    <w:semiHidden/>
    <w:unhideWhenUsed/>
    <w:qFormat/>
    <w:pPr>
      <w:spacing w:before="320" w:after="0" w:line="360" w:lineRule="auto"/>
      <w:outlineLvl w:val="1"/>
    </w:pPr>
    <w:rPr>
      <w:rFonts w:ascii="Styrene B" w:eastAsia="Styrene B" w:hAnsi="Styrene B" w:cs="Styrene B"/>
      <w:color w:val="434D4B"/>
      <w:sz w:val="28"/>
      <w:szCs w:val="28"/>
    </w:rPr>
  </w:style>
  <w:style w:type="paragraph" w:styleId="Nagwek3">
    <w:name w:val="heading 3"/>
    <w:basedOn w:val="Normalny"/>
    <w:next w:val="Normalny"/>
    <w:uiPriority w:val="9"/>
    <w:semiHidden/>
    <w:unhideWhenUsed/>
    <w:qFormat/>
    <w:pPr>
      <w:spacing w:before="320" w:after="0" w:line="360" w:lineRule="auto"/>
      <w:outlineLvl w:val="2"/>
    </w:pPr>
    <w:rPr>
      <w:rFonts w:ascii="Styrene B" w:eastAsia="Styrene B" w:hAnsi="Styrene B" w:cs="Styrene B"/>
      <w:color w:val="434D4B"/>
      <w:sz w:val="26"/>
      <w:szCs w:val="26"/>
    </w:rPr>
  </w:style>
  <w:style w:type="paragraph" w:styleId="Nagwek4">
    <w:name w:val="heading 4"/>
    <w:basedOn w:val="Normalny"/>
    <w:next w:val="Normalny"/>
    <w:uiPriority w:val="9"/>
    <w:semiHidden/>
    <w:unhideWhenUsed/>
    <w:qFormat/>
    <w:pPr>
      <w:outlineLvl w:val="3"/>
    </w:pPr>
    <w:rPr>
      <w:rFonts w:ascii="Styrene B Med" w:eastAsia="Styrene B Med" w:hAnsi="Styrene B Med" w:cs="Styrene B Med"/>
    </w:rPr>
  </w:style>
  <w:style w:type="paragraph" w:styleId="Nagwek5">
    <w:name w:val="heading 5"/>
    <w:basedOn w:val="Normalny"/>
    <w:next w:val="Normalny"/>
    <w:uiPriority w:val="9"/>
    <w:semiHidden/>
    <w:unhideWhenUsed/>
    <w:qFormat/>
    <w:pPr>
      <w:spacing w:before="280" w:after="0" w:line="360" w:lineRule="auto"/>
      <w:outlineLvl w:val="4"/>
    </w:pPr>
    <w:rPr>
      <w:rFonts w:ascii="Styrene B Med" w:eastAsia="Styrene B Med" w:hAnsi="Styrene B Med" w:cs="Styrene B Med"/>
      <w:b/>
      <w:bCs/>
      <w:i/>
      <w:iCs/>
      <w:color w:val="434D4B"/>
      <w:sz w:val="22"/>
      <w:szCs w:val="22"/>
    </w:rPr>
  </w:style>
  <w:style w:type="paragraph" w:styleId="Nagwek6">
    <w:name w:val="heading 6"/>
    <w:basedOn w:val="Normalny"/>
    <w:next w:val="Normalny"/>
    <w:uiPriority w:val="9"/>
    <w:semiHidden/>
    <w:unhideWhenUsed/>
    <w:qFormat/>
    <w:pPr>
      <w:spacing w:before="280" w:line="360" w:lineRule="auto"/>
      <w:outlineLvl w:val="5"/>
    </w:pPr>
    <w:rPr>
      <w:rFonts w:ascii="Styrene B Med" w:eastAsia="Styrene B Med" w:hAnsi="Styrene B Med" w:cs="Styrene B Med"/>
      <w:b/>
      <w:bCs/>
      <w:i/>
      <w:iCs/>
      <w:color w:val="434D4B"/>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120" w:line="240" w:lineRule="auto"/>
    </w:pPr>
    <w:rPr>
      <w:rFonts w:ascii="Styrene B" w:eastAsia="Styrene B" w:hAnsi="Styrene B" w:cs="Styrene B"/>
      <w:color w:val="434D4B"/>
      <w:sz w:val="60"/>
      <w:szCs w:val="60"/>
    </w:rPr>
  </w:style>
  <w:style w:type="paragraph" w:styleId="Podtytu">
    <w:name w:val="Subtitle"/>
    <w:basedOn w:val="Normalny"/>
    <w:next w:val="Normalny"/>
    <w:uiPriority w:val="11"/>
    <w:qFormat/>
    <w:pPr>
      <w:spacing w:after="320" w:line="276" w:lineRule="auto"/>
      <w:jc w:val="right"/>
    </w:pPr>
    <w:rPr>
      <w:color w:val="9DAAA7"/>
      <w:sz w:val="24"/>
      <w:szCs w:val="24"/>
    </w:rPr>
  </w:style>
  <w:style w:type="paragraph" w:styleId="Poprawka">
    <w:name w:val="Revision"/>
    <w:hidden/>
    <w:uiPriority w:val="99"/>
    <w:semiHidden/>
    <w:rsid w:val="00B22EE5"/>
    <w:pPr>
      <w:spacing w:after="0" w:line="240" w:lineRule="auto"/>
    </w:pPr>
  </w:style>
  <w:style w:type="paragraph" w:styleId="Nagwek">
    <w:name w:val="header"/>
    <w:basedOn w:val="Normalny"/>
    <w:link w:val="NagwekZnak"/>
    <w:uiPriority w:val="99"/>
    <w:semiHidden/>
    <w:unhideWhenUsed/>
    <w:rsid w:val="00E21D5C"/>
    <w:pPr>
      <w:tabs>
        <w:tab w:val="center" w:pos="4680"/>
        <w:tab w:val="right" w:pos="9360"/>
      </w:tabs>
      <w:spacing w:after="0" w:line="240" w:lineRule="auto"/>
    </w:pPr>
  </w:style>
  <w:style w:type="character" w:customStyle="1" w:styleId="NagwekZnak">
    <w:name w:val="Nagłówek Znak"/>
    <w:basedOn w:val="Domylnaczcionkaakapitu"/>
    <w:link w:val="Nagwek"/>
    <w:uiPriority w:val="99"/>
    <w:semiHidden/>
    <w:rsid w:val="00E21D5C"/>
  </w:style>
  <w:style w:type="paragraph" w:styleId="Stopka">
    <w:name w:val="footer"/>
    <w:basedOn w:val="Normalny"/>
    <w:link w:val="StopkaZnak"/>
    <w:uiPriority w:val="99"/>
    <w:semiHidden/>
    <w:unhideWhenUsed/>
    <w:rsid w:val="00E21D5C"/>
    <w:pPr>
      <w:tabs>
        <w:tab w:val="center" w:pos="4680"/>
        <w:tab w:val="right" w:pos="9360"/>
      </w:tabs>
      <w:spacing w:after="0" w:line="240" w:lineRule="auto"/>
    </w:pPr>
  </w:style>
  <w:style w:type="character" w:customStyle="1" w:styleId="StopkaZnak">
    <w:name w:val="Stopka Znak"/>
    <w:basedOn w:val="Domylnaczcionkaakapitu"/>
    <w:link w:val="Stopka"/>
    <w:uiPriority w:val="99"/>
    <w:semiHidden/>
    <w:rsid w:val="00E21D5C"/>
  </w:style>
  <w:style w:type="character" w:styleId="Hipercze">
    <w:name w:val="Hyperlink"/>
    <w:basedOn w:val="Domylnaczcionkaakapitu"/>
    <w:uiPriority w:val="99"/>
    <w:unhideWhenUsed/>
    <w:rsid w:val="003D47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refa.gda.pl/strefa/uzyskaj-wsparc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refa.gda.pl/strefa/uzyskaj-wsparci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onika.sadowska@linkleaders.pl" TargetMode="External"/><Relationship Id="rId4" Type="http://schemas.openxmlformats.org/officeDocument/2006/relationships/webSettings" Target="webSettings.xml"/><Relationship Id="rId9" Type="http://schemas.openxmlformats.org/officeDocument/2006/relationships/hyperlink" Target="https://ctp.eu/"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kBFC5/c7zfuAWPU0p1nZEtW8+w==">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944</Words>
  <Characters>5668</Characters>
  <Application>Microsoft Office Word</Application>
  <DocSecurity>0</DocSecurity>
  <Lines>47</Lines>
  <Paragraphs>13</Paragraphs>
  <ScaleCrop>false</ScaleCrop>
  <Company>CTP Invest, spol. s r. o.</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Monika Sadowska</cp:lastModifiedBy>
  <cp:revision>9</cp:revision>
  <dcterms:created xsi:type="dcterms:W3CDTF">2026-07-17T07:12:00Z</dcterms:created>
  <dcterms:modified xsi:type="dcterms:W3CDTF">2026-07-30T06:38:00Z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0x01010071A27409988CC247A1065E975AAA6AFF</vt:lpwstr>
  </property>
  <property fmtid="{D5CDD505-2E9C-101B-9397-08002B2CF9AE}" pid="3" name="MediaServiceImageTags">
    <vt:lpwstr>MediaServiceImageTags</vt:lpwstr>
  </property>
  <property fmtid="{D5CDD505-2E9C-101B-9397-08002B2CF9AE}" pid="4" name="MSIP_Label_11b975ae-f966-4767-99c7-304458c36885_Enabled">
    <vt:lpwstr>true</vt:lpwstr>
  </property>
  <property fmtid="{D5CDD505-2E9C-101B-9397-08002B2CF9AE}" pid="5" name="MSIP_Label_11b975ae-f966-4767-99c7-304458c36885_SetDate">
    <vt:lpwstr>2026-01-14T13:32:33Z</vt:lpwstr>
  </property>
  <property fmtid="{D5CDD505-2E9C-101B-9397-08002B2CF9AE}" pid="6" name="MSIP_Label_11b975ae-f966-4767-99c7-304458c36885_Method">
    <vt:lpwstr>Standard</vt:lpwstr>
  </property>
  <property fmtid="{D5CDD505-2E9C-101B-9397-08002B2CF9AE}" pid="7" name="MSIP_Label_11b975ae-f966-4767-99c7-304458c36885_Name">
    <vt:lpwstr>Internal</vt:lpwstr>
  </property>
  <property fmtid="{D5CDD505-2E9C-101B-9397-08002B2CF9AE}" pid="8" name="MSIP_Label_11b975ae-f966-4767-99c7-304458c36885_SiteId">
    <vt:lpwstr>0499b4d7-0eab-4474-9d4c-0d26c6d5e067</vt:lpwstr>
  </property>
  <property fmtid="{D5CDD505-2E9C-101B-9397-08002B2CF9AE}" pid="9" name="MSIP_Label_11b975ae-f966-4767-99c7-304458c36885_ActionId">
    <vt:lpwstr>f6c6b54f-7976-4843-b48d-b9c442b47b57</vt:lpwstr>
  </property>
  <property fmtid="{D5CDD505-2E9C-101B-9397-08002B2CF9AE}" pid="10" name="MSIP_Label_11b975ae-f966-4767-99c7-304458c36885_ContentBits">
    <vt:lpwstr>0</vt:lpwstr>
  </property>
  <property fmtid="{D5CDD505-2E9C-101B-9397-08002B2CF9AE}" pid="11" name="MSIP_Label_11b975ae-f966-4767-99c7-304458c36885_Tag">
    <vt:lpwstr>50, 3, 0, 1</vt:lpwstr>
  </property>
</Properties>
</file>