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6E5F" w14:textId="77777777" w:rsidR="00DD5317" w:rsidRPr="00DD5317" w:rsidRDefault="00DD5317" w:rsidP="00DD5317">
      <w:pPr>
        <w:spacing w:after="160" w:line="276" w:lineRule="auto"/>
        <w:jc w:val="both"/>
        <w:rPr>
          <w:rFonts w:ascii="Noto Sans" w:eastAsiaTheme="minorHAnsi" w:hAnsi="Noto Sans" w:cs="Noto Sans"/>
          <w:sz w:val="28"/>
          <w:szCs w:val="28"/>
        </w:rPr>
      </w:pPr>
      <w:r w:rsidRPr="00DD5317">
        <w:rPr>
          <w:rFonts w:ascii="Noto Sans" w:eastAsiaTheme="minorHAnsi" w:hAnsi="Noto Sans" w:cs="Noto Sans"/>
          <w:b/>
          <w:bCs/>
          <w:sz w:val="28"/>
          <w:szCs w:val="28"/>
          <w:lang w:val="pt-PT"/>
        </w:rPr>
        <w:t>Além da conformidade: Potenciar valor com rastreabilidade no setor da construção</w:t>
      </w:r>
    </w:p>
    <w:p w14:paraId="79AC0F1F" w14:textId="79EAA175"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 xml:space="preserve">O setor da construção encontra-se num ponto de viragem crucial. Os novos regulamentos destinados a melhorar a segurança dos edifícios, a sustentabilidade e a responsabilização exigem uma melhoria significativa na rastreabilidade dos materiais, desde a fase de projeto até à desconstrução. Embora a regulamentação esteja a impulsionar esta mudança, são os </w:t>
      </w:r>
      <w:hyperlink r:id="rId6" w:history="1">
        <w:r w:rsidRPr="00DD5317">
          <w:rPr>
            <w:rStyle w:val="Hyperlink"/>
            <w:rFonts w:ascii="Noto Sans" w:eastAsiaTheme="minorHAnsi" w:hAnsi="Noto Sans" w:cs="Noto Sans"/>
            <w:i/>
            <w:iCs/>
            <w:sz w:val="22"/>
            <w:lang w:val="pt-PT"/>
          </w:rPr>
          <w:t>benefícios potenciais adicionais</w:t>
        </w:r>
      </w:hyperlink>
      <w:r w:rsidRPr="00DD5317">
        <w:rPr>
          <w:rFonts w:ascii="Noto Sans" w:eastAsiaTheme="minorHAnsi" w:hAnsi="Noto Sans" w:cs="Noto Sans"/>
          <w:i/>
          <w:iCs/>
          <w:sz w:val="22"/>
          <w:lang w:val="pt-PT"/>
        </w:rPr>
        <w:t xml:space="preserve"> para o setor que se revelam convincentes. </w:t>
      </w:r>
    </w:p>
    <w:p w14:paraId="58CD0595" w14:textId="77777777"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Os passaportes digitais dos produtos garantirão que os produtos e componentes de construção sejam identificáveis</w:t>
      </w:r>
      <w:r w:rsidRPr="00DD5317">
        <w:rPr>
          <w:rFonts w:ascii="Noto Sans" w:eastAsiaTheme="minorHAnsi" w:hAnsi="Noto Sans" w:cs="Noto Sans"/>
          <w:i/>
          <w:iCs/>
          <w:color w:val="323130"/>
          <w:sz w:val="22"/>
          <w:lang w:val="pt-PT"/>
        </w:rPr>
        <w:t xml:space="preserve"> do projeto, produção, construção e manutenção, até à desconstrução e reciclagem. Este "</w:t>
      </w:r>
      <w:r w:rsidRPr="00DD5317">
        <w:rPr>
          <w:rFonts w:ascii="Noto Sans" w:eastAsiaTheme="minorHAnsi" w:hAnsi="Noto Sans" w:cs="Noto Sans"/>
          <w:i/>
          <w:iCs/>
          <w:sz w:val="22"/>
          <w:lang w:val="pt-PT"/>
        </w:rPr>
        <w:t xml:space="preserve">golden thread" de informação oferece ao setor muito mais do que a simples conformidade regulamentar: a rastreabilidade de ponta a ponta constitui a base para maior eficiência operacional, redução significativa dos resíduos, melhor controlo dos custos e um novo nível de colaboração na cadeia de abastecimento. </w:t>
      </w:r>
    </w:p>
    <w:p w14:paraId="4C5BFF91" w14:textId="2DF7F052" w:rsidR="00DD5317" w:rsidRPr="00DD5317" w:rsidRDefault="00DD5317" w:rsidP="00DD5317">
      <w:pPr>
        <w:spacing w:after="160" w:line="276" w:lineRule="auto"/>
        <w:jc w:val="both"/>
        <w:rPr>
          <w:rFonts w:ascii="Noto Sans" w:eastAsiaTheme="minorHAnsi" w:hAnsi="Noto Sans" w:cs="Noto Sans"/>
          <w:i/>
          <w:iCs/>
          <w:sz w:val="22"/>
        </w:rPr>
      </w:pPr>
      <w:r w:rsidRPr="00DD5317">
        <w:rPr>
          <w:rFonts w:ascii="Noto Sans" w:eastAsiaTheme="minorHAnsi" w:hAnsi="Noto Sans" w:cs="Noto Sans"/>
          <w:i/>
          <w:iCs/>
          <w:sz w:val="22"/>
          <w:lang w:val="pt-PT"/>
        </w:rPr>
        <w:t xml:space="preserve">Como explica Rob Ellinor, Global Building &amp; Construction Sector Manager, </w:t>
      </w:r>
      <w:hyperlink r:id="rId7" w:history="1">
        <w:r w:rsidRPr="00DD5317">
          <w:rPr>
            <w:rStyle w:val="Hyperlink"/>
            <w:rFonts w:ascii="Noto Sans" w:eastAsiaTheme="minorHAnsi" w:hAnsi="Noto Sans" w:cs="Noto Sans"/>
            <w:i/>
            <w:iCs/>
            <w:sz w:val="22"/>
            <w:lang w:val="pt-PT"/>
          </w:rPr>
          <w:t>Domino</w:t>
        </w:r>
      </w:hyperlink>
      <w:r w:rsidRPr="00DD5317">
        <w:rPr>
          <w:rFonts w:ascii="Noto Sans" w:eastAsiaTheme="minorHAnsi" w:hAnsi="Noto Sans" w:cs="Noto Sans"/>
          <w:i/>
          <w:iCs/>
          <w:sz w:val="22"/>
          <w:lang w:val="pt-PT"/>
        </w:rPr>
        <w:t>.</w:t>
      </w:r>
    </w:p>
    <w:p w14:paraId="006840BC"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 xml:space="preserve">Otimizar a conformidade na construção </w:t>
      </w:r>
    </w:p>
    <w:p w14:paraId="3A8824B8"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Os novos regulamentos da UE, incluindo o Regulamento de Produtos de Construção (RPC) e o Regulamento de Conceção Ecológica de Produtos Sustentáveis (RCEPS), bem como a Lei de Segurança de Edifícios de 2022 (incluída no </w:t>
      </w:r>
      <w:r w:rsidRPr="00DD5317">
        <w:rPr>
          <w:rFonts w:ascii="Noto Sans" w:eastAsiaTheme="minorHAnsi" w:hAnsi="Noto Sans" w:cs="Noto Sans"/>
          <w:i/>
          <w:iCs/>
          <w:sz w:val="22"/>
          <w:lang w:val="pt-PT"/>
        </w:rPr>
        <w:t>UK Construction Reform Act</w:t>
      </w:r>
      <w:r w:rsidRPr="00DD5317">
        <w:rPr>
          <w:rFonts w:ascii="Noto Sans" w:eastAsiaTheme="minorHAnsi" w:hAnsi="Noto Sans" w:cs="Noto Sans"/>
          <w:sz w:val="22"/>
          <w:lang w:val="pt-PT"/>
        </w:rPr>
        <w:t xml:space="preserve">), vão impor novos requisitos aos fabricantes e fornecedores de produtos de construção. Embora as datas de conformidade atuais ainda estejam por confirmar, a tendência é clara: os fabricantes terão de fornecer informação digital e estruturada sobre os produtos, que possa ser acedida e partilhada de forma coerente ao longo de todo o ciclo de vida de um edifício. </w:t>
      </w:r>
    </w:p>
    <w:p w14:paraId="13F57812"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No Reino Unido, já se reconhece a necessidade de melhorar a rastreabilidade. O "golden thread" de dados é um conceito utilizado para descrever um registo digital das informações essenciais relativas à segurança e à conceção de um edifício. Apesar de, atualmente, apenas ser exigido por lei para edifícios de alto risco, existe uma consciência crescente entre as empresas de construção quanto ao valor de dispor de uma única fonte de informação fiável em projetos de todas as dimensões.</w:t>
      </w:r>
    </w:p>
    <w:p w14:paraId="4B0C0881"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Até à data, o obstáculo à concretização deste "golden thread" tem sido a falta de normalização e de um quadro operacional único e consensual. O resultado tem sido a existência de operações isoladas que limitam a colaboração eficaz de ponta a ponta ao </w:t>
      </w:r>
      <w:r w:rsidRPr="00DD5317">
        <w:rPr>
          <w:rFonts w:ascii="Noto Sans" w:eastAsiaTheme="minorHAnsi" w:hAnsi="Noto Sans" w:cs="Noto Sans"/>
          <w:sz w:val="22"/>
          <w:lang w:val="pt-PT"/>
        </w:rPr>
        <w:lastRenderedPageBreak/>
        <w:t>longo da cadeia de abastecimento, necessária para melhorar a eficiência operacional e maximizar o valor dos dados detalhados sobre os produtos. A transição para um ambiente mais regulamentado irá, no entanto, acelerar a mudança e incentivar a adoção generalizada das normas necessárias para alcançar um processo de construção mais coerente e transparente.</w:t>
      </w:r>
    </w:p>
    <w:p w14:paraId="27AF1F05"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As normas relativas aos dados apoiam a conformidade na construção</w:t>
      </w:r>
    </w:p>
    <w:p w14:paraId="0445DAB6"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À semelhança do que acontece noutros setores, nomeadamente no farmacêutico, a normalização e a adoção de uma linguagem acessível e reconhecida a nível mundial, como a proporcionada pelos códigos 2D baseados nos padrões da GS1, constituem a base para uma partilha de dados e rastreabilidade eficazes. Permite a transferência sem atrito de informações consistentes, fiáveis e utilizáveis de uma ponta à outra da cadeia de abastecimento, permitindo às organizações tirar partido de informações em tempo real em todas as etapas, de forma a melhorar a eficiência e o controlo.</w:t>
      </w:r>
    </w:p>
    <w:p w14:paraId="06E42E12"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riqueza de informação que pode ser incluída num passaporte digital do produto é impressionante. Embora os requisitos variem consoante o tipo de produto, de um modo geral, os regulamentos exigirão a disponibilização de: um identificador de produto exclusivo a nível mundial; um suporte de dados digital (por exemplo, QR, NFC ou RFID); informações sobre o desempenho e a segurança do produto; documentação relativa à conformidade e certificação; dados sobre o desempenho ambiental; e a composição dos materiais.</w:t>
      </w:r>
    </w:p>
    <w:p w14:paraId="7AC8139F"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utilização de uma linguagem normalizada para fornecer estes dados detalhados possibilita um fluxo de informação muito mais eficaz entre sistemas e pessoas, da fábrica ao estaleiro de construção. Permite que as empresas de construção criem um registo digital, ou "réplica digital", de um edifício, com informações sobre os produtos utilizados e a respetiva localização. Esta réplica digital também pode ser utilizada para demonstrar que o edifício cumpre as normas exigidas, com a adição de identificadores exclusivos que permitem rastrear os produtos até ao nível do lote, no caso de artigos produzidos em série, e a nível individual, no caso de artigos de maior risco, como as portas corta-fogo. </w:t>
      </w:r>
    </w:p>
    <w:p w14:paraId="68A5A59B"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 xml:space="preserve">Extrair valor dos dados além da conformidade </w:t>
      </w:r>
    </w:p>
    <w:p w14:paraId="35CF2C69"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conformidade regulamentar deve ser apenas o ponto de partida para uma transformação operacional significativa, permitindo obter benefícios adicionais muito além do simples cumprimento das normas. A otimização da informação sobre os </w:t>
      </w:r>
      <w:r w:rsidRPr="00DD5317">
        <w:rPr>
          <w:rFonts w:ascii="Noto Sans" w:eastAsiaTheme="minorHAnsi" w:hAnsi="Noto Sans" w:cs="Noto Sans"/>
          <w:sz w:val="22"/>
          <w:lang w:val="pt-PT"/>
        </w:rPr>
        <w:lastRenderedPageBreak/>
        <w:t xml:space="preserve">produtos permite aumentar a automatização e gerir os processos em tempo real, contribuindo para uma melhoria significativa do desempenho operacional no dia a dia. No caso das empresas de construção, as entregas de produtos podem ser registadas à medida que chegam ao local da obra, eliminando as imprecisões e os atrasos associados à burocracia manual. </w:t>
      </w:r>
    </w:p>
    <w:p w14:paraId="67E790B5"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verificação em tempo real dos elementos à medida que são instalados pode ajudar a garantir que são utilizadas as peças corretas no decorrer de um projeto de construção. As informações adicionais podem incluir produtos que é necessário combinar para garantir uma instalação correta, melhorando ainda mais a qualidade e evitando o risco de atrasos dispendiosos ou reprovações nas inspeções. Com efeito, se os inspetores no local dispuserem antecipadamente de informações detalhadas sobre as áreas específicas de alto risco que requerem avaliação, podem realizar inspeções e aprovações mais direcionadas e mais rápidas. </w:t>
      </w:r>
    </w:p>
    <w:p w14:paraId="39A7646B"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substituição da burocracia manual por informações em tempo real provenientes dos identificadores dos produtos pode também permitir que as empresas de construção abandonem a prática de encomendar stock "por precaução", que tem sido tradicionalmente adotada para evitar atrasos. Para além de reduzir os custos, evitar encomendas excessivas de materiais irá também minimizar o desperdício, contribuindo ainda mais para os objetivos de sustentabilidade das empresas de construção. Os materiais excedentes identificáveis podem ser devolvidos ou reutilizados, em vez de serem eliminados, o que reduz ainda mais o desperdício e os custos.</w:t>
      </w:r>
    </w:p>
    <w:p w14:paraId="65C42F97"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Utilizar dados para melhorar o desempenho operacional</w:t>
      </w:r>
    </w:p>
    <w:p w14:paraId="3262A213"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informação detalhada ao nível de cada artigo pode também permitir que as empresas de construção melhorem a rotação de stock. No caso de produtos perecíveis, como o gesso, é possível implementar medidas de controlo para evitar que os produtos passem o prazo de validade e sejam desperdiçados, o que acarreta custos e, potencialmente, a necessidade de processos complexos de eliminação. É fundamental referir que também reforça os protocolos de segurança para produtos como o cimento, que podem ser </w:t>
      </w:r>
      <w:hyperlink r:id="rId8" w:history="1">
        <w:r w:rsidRPr="00DD5317">
          <w:rPr>
            <w:rFonts w:ascii="Noto Sans" w:eastAsiaTheme="minorHAnsi" w:hAnsi="Noto Sans" w:cs="Noto Sans"/>
            <w:color w:val="0563C1" w:themeColor="hyperlink"/>
            <w:sz w:val="22"/>
            <w:u w:val="single"/>
            <w:lang w:val="pt-PT"/>
          </w:rPr>
          <w:t>perigosos para os trabalhadores</w:t>
        </w:r>
      </w:hyperlink>
      <w:r w:rsidRPr="00DD5317">
        <w:rPr>
          <w:rFonts w:ascii="Noto Sans" w:eastAsiaTheme="minorHAnsi" w:hAnsi="Noto Sans" w:cs="Noto Sans"/>
          <w:sz w:val="22"/>
          <w:lang w:val="pt-PT"/>
        </w:rPr>
        <w:t xml:space="preserve"> e comprometer a integridade das construções.</w:t>
      </w:r>
    </w:p>
    <w:p w14:paraId="0CF0942A"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Para os fabricantes de produtos de construção, a utilização de normas globais, como o GS1 Digital Link, permite que mais dados sejam rastreados e associados aos produtos, facilitando a realização de recolhas específicas, se necessário. Os lotes com defeito podem ser identificados e localizados rapidamente, garantindo que apenas os produtos afetados sejam recolhidos, minimizando assim os potenciais custos para a empresa. </w:t>
      </w:r>
      <w:r w:rsidRPr="00DD5317">
        <w:rPr>
          <w:rFonts w:ascii="Noto Sans" w:eastAsiaTheme="minorHAnsi" w:hAnsi="Noto Sans" w:cs="Noto Sans"/>
          <w:sz w:val="22"/>
          <w:lang w:val="pt-PT"/>
        </w:rPr>
        <w:lastRenderedPageBreak/>
        <w:t>Além disso, a rastreabilidade total permitirá também evitar os problemas associados à identificação dos edifícios afetados por problemas, tal como aconteceu após o incêndio no edifício Grenfell, em Londres.</w:t>
      </w:r>
    </w:p>
    <w:p w14:paraId="0470B9E5"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Esta riqueza de dados, quando acedida através de um identificador de produto, pode também contribuir para uma atividade de combate à contrafação muito mais eficaz, permitindo que os estaleiros de construção verifiquem a autenticidade dos materiais e utilizem, com confiança, produtos genuínos e seguros. Além disso, através da utilização de </w:t>
      </w:r>
      <w:r w:rsidRPr="00DD5317">
        <w:rPr>
          <w:rFonts w:ascii="Noto Sans" w:eastAsiaTheme="minorHAnsi" w:hAnsi="Noto Sans" w:cs="Noto Sans"/>
          <w:i/>
          <w:iCs/>
          <w:sz w:val="22"/>
          <w:lang w:val="pt-PT"/>
        </w:rPr>
        <w:t>resolvers</w:t>
      </w:r>
      <w:r w:rsidRPr="00DD5317">
        <w:rPr>
          <w:rFonts w:ascii="Noto Sans" w:eastAsiaTheme="minorHAnsi" w:hAnsi="Noto Sans" w:cs="Noto Sans"/>
          <w:sz w:val="22"/>
          <w:lang w:val="pt-PT"/>
        </w:rPr>
        <w:t xml:space="preserve">, permite que diferentes intervenientes acedam a diferentes conjuntos de dados ou páginas Web em diferentes pontos da cadeia de valor.  </w:t>
      </w:r>
    </w:p>
    <w:p w14:paraId="7398473A" w14:textId="77777777" w:rsidR="00DD5317" w:rsidRPr="00DD5317" w:rsidRDefault="00DD5317" w:rsidP="00DD5317">
      <w:pPr>
        <w:spacing w:after="160" w:line="276" w:lineRule="auto"/>
        <w:jc w:val="both"/>
        <w:rPr>
          <w:rFonts w:ascii="Noto Sans" w:eastAsiaTheme="minorHAnsi" w:hAnsi="Noto Sans" w:cs="Noto Sans"/>
          <w:b/>
          <w:bCs/>
          <w:sz w:val="22"/>
        </w:rPr>
      </w:pPr>
      <w:r w:rsidRPr="00DD5317">
        <w:rPr>
          <w:rFonts w:ascii="Noto Sans" w:eastAsiaTheme="minorHAnsi" w:hAnsi="Noto Sans" w:cs="Noto Sans"/>
          <w:b/>
          <w:bCs/>
          <w:sz w:val="22"/>
          <w:lang w:val="pt-PT"/>
        </w:rPr>
        <w:t>Utilizar a conformidade para obter vantagem competitiva</w:t>
      </w:r>
    </w:p>
    <w:p w14:paraId="33F16F63"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 xml:space="preserve">A introdução de identificadores detalhados exclusivos permitirá que as organizações de todo o setor da construção civil garantam o cumprimento dos novos e futuros regulamentos. No entanto, mais importante ainda, irá também alterar a forma como as organizações interagem e colaboram ao longo de toda a cadeia de abastecimento. A maior riqueza de informação que pode ser disponibilizada sobre os produtos, tanto ao nível do lote como de cada unidade individual, oferece aos fabricantes de materiais a oportunidade de se integrarem em toda a cadeia de abastecimento, proporcionando valor acrescentado às empresas de construção e criando um fator de diferenciação comercial concreto. </w:t>
      </w:r>
    </w:p>
    <w:p w14:paraId="504AF16B" w14:textId="77777777" w:rsidR="00DD5317" w:rsidRPr="00DD5317" w:rsidRDefault="00DD5317" w:rsidP="00DD5317">
      <w:pPr>
        <w:spacing w:after="160" w:line="276" w:lineRule="auto"/>
        <w:jc w:val="both"/>
        <w:rPr>
          <w:rFonts w:ascii="Noto Sans" w:eastAsiaTheme="minorHAnsi" w:hAnsi="Noto Sans" w:cs="Noto Sans"/>
          <w:sz w:val="22"/>
        </w:rPr>
      </w:pPr>
      <w:r w:rsidRPr="00DD5317">
        <w:rPr>
          <w:rFonts w:ascii="Noto Sans" w:eastAsiaTheme="minorHAnsi" w:hAnsi="Noto Sans" w:cs="Noto Sans"/>
          <w:sz w:val="22"/>
          <w:lang w:val="pt-PT"/>
        </w:rPr>
        <w:t>A disponibilização de informações sobre os produtos através da adoção de normas globais, tais como os códigos 2D baseados nos padrões da GS1, passará a ser não só um requisito de conformidade, mas também uma necessidade comercial. Atualmente, existe uma oportunidade incontornável para ultrapassar a perceção de que a conformidade representa apenas um custo adicional e reconhecer que os fabricantes de materiais e produtos para a construção podem gerar valor significativo ao longo de uma cadeia de abastecimento conectada e colaborativa.</w:t>
      </w:r>
    </w:p>
    <w:p w14:paraId="0F2D28E9" w14:textId="77777777" w:rsidR="00DD5317" w:rsidRDefault="00DD5317" w:rsidP="00DD5317">
      <w:pPr>
        <w:spacing w:after="160" w:line="259" w:lineRule="auto"/>
        <w:rPr>
          <w:rFonts w:ascii="Noto Sans" w:eastAsiaTheme="minorHAnsi" w:hAnsi="Noto Sans" w:cs="Noto Sans"/>
          <w:b/>
          <w:bCs/>
          <w:sz w:val="22"/>
          <w:lang w:val="pt-PT"/>
        </w:rPr>
      </w:pPr>
    </w:p>
    <w:p w14:paraId="0B328C57" w14:textId="5AC9B8BB" w:rsidR="00DD5317" w:rsidRPr="00DD5317" w:rsidRDefault="00DD5317" w:rsidP="00DD5317">
      <w:pPr>
        <w:spacing w:after="160" w:line="259" w:lineRule="auto"/>
        <w:rPr>
          <w:rFonts w:ascii="Noto Sans" w:eastAsiaTheme="minorHAnsi" w:hAnsi="Noto Sans" w:cs="Noto Sans"/>
          <w:sz w:val="22"/>
          <w:lang w:val="pt-PT"/>
        </w:rPr>
      </w:pPr>
      <w:r w:rsidRPr="00DD5317">
        <w:rPr>
          <w:rFonts w:ascii="Noto Sans" w:eastAsiaTheme="minorHAnsi" w:hAnsi="Noto Sans" w:cs="Noto Sans"/>
          <w:sz w:val="22"/>
          <w:lang w:val="pt-PT"/>
        </w:rPr>
        <w:t>&lt;</w:t>
      </w:r>
      <w:r w:rsidRPr="00DD5317">
        <w:rPr>
          <w:rFonts w:ascii="Noto Sans" w:eastAsiaTheme="minorHAnsi" w:hAnsi="Noto Sans" w:cs="Noto Sans"/>
          <w:b/>
          <w:bCs/>
          <w:sz w:val="22"/>
          <w:lang w:val="pt-PT"/>
        </w:rPr>
        <w:t>FIM</w:t>
      </w:r>
      <w:r>
        <w:rPr>
          <w:rFonts w:ascii="Noto Sans" w:eastAsiaTheme="minorHAnsi" w:hAnsi="Noto Sans" w:cs="Noto Sans"/>
          <w:b/>
          <w:bCs/>
          <w:sz w:val="22"/>
          <w:lang w:val="pt-PT"/>
        </w:rPr>
        <w:t>&gt;</w:t>
      </w:r>
    </w:p>
    <w:p w14:paraId="4D79F570" w14:textId="77777777" w:rsidR="00DD5317" w:rsidRPr="00DD5317" w:rsidRDefault="00DD5317" w:rsidP="00DD5317">
      <w:pPr>
        <w:spacing w:after="160" w:line="259" w:lineRule="auto"/>
        <w:rPr>
          <w:rFonts w:ascii="Noto Sans" w:eastAsiaTheme="minorHAnsi" w:hAnsi="Noto Sans" w:cs="Noto Sans"/>
          <w:b/>
          <w:bCs/>
          <w:sz w:val="22"/>
          <w:lang w:val="pt-PT"/>
        </w:rPr>
      </w:pPr>
    </w:p>
    <w:p w14:paraId="7E2545B9" w14:textId="77777777" w:rsidR="00DD5317" w:rsidRDefault="00DD5317" w:rsidP="00DD5317">
      <w:pPr>
        <w:spacing w:line="240" w:lineRule="auto"/>
        <w:rPr>
          <w:rFonts w:ascii="Noto Sans" w:eastAsiaTheme="minorHAnsi" w:hAnsi="Noto Sans" w:cs="Noto Sans"/>
          <w:b/>
          <w:bCs/>
          <w:sz w:val="22"/>
          <w:lang w:val="pt-PT"/>
        </w:rPr>
      </w:pPr>
    </w:p>
    <w:p w14:paraId="6EEF5C11" w14:textId="3AB99F69" w:rsidR="00DD5317" w:rsidRPr="00DD5317" w:rsidRDefault="00DD5317" w:rsidP="00DD5317">
      <w:pPr>
        <w:spacing w:line="240" w:lineRule="auto"/>
        <w:rPr>
          <w:rFonts w:ascii="Noto Sans" w:eastAsiaTheme="minorHAnsi" w:hAnsi="Noto Sans" w:cs="Noto Sans"/>
          <w:sz w:val="22"/>
          <w:lang w:val="pt-PT"/>
        </w:rPr>
      </w:pPr>
      <w:r w:rsidRPr="00DD5317">
        <w:rPr>
          <w:rFonts w:ascii="Noto Sans" w:eastAsiaTheme="minorHAnsi" w:hAnsi="Noto Sans" w:cs="Noto Sans"/>
          <w:b/>
          <w:bCs/>
          <w:sz w:val="22"/>
          <w:lang w:val="pt-PT"/>
        </w:rPr>
        <w:t xml:space="preserve"> </w:t>
      </w:r>
      <w:bookmarkStart w:id="0" w:name="_Hlk531088985"/>
      <w:bookmarkStart w:id="1" w:name="_Hlk61949672"/>
      <w:r w:rsidRPr="00DD5317">
        <w:rPr>
          <w:rFonts w:ascii="Noto Sans" w:hAnsi="Noto Sans" w:cs="Noto Sans"/>
          <w:b/>
          <w:bCs/>
          <w:sz w:val="20"/>
          <w:szCs w:val="20"/>
          <w:lang w:val="pt"/>
        </w:rPr>
        <w:t>Isenção de responsabilidade</w:t>
      </w:r>
      <w:bookmarkEnd w:id="0"/>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Tintas</w:t>
      </w:r>
      <w:r w:rsidRPr="00DD5317">
        <w:rPr>
          <w:rFonts w:ascii="Noto Sans" w:hAnsi="Noto Sans" w:cs="Noto Sans"/>
          <w:sz w:val="20"/>
          <w:szCs w:val="20"/>
          <w:lang w:val="pt"/>
        </w:rPr>
        <w:br/>
      </w:r>
      <w:r w:rsidRPr="00DD5317">
        <w:rPr>
          <w:rFonts w:ascii="Noto Sans" w:hAnsi="Noto Sans" w:cs="Noto Sans"/>
          <w:sz w:val="20"/>
          <w:szCs w:val="20"/>
          <w:lang w:val="pt"/>
        </w:rPr>
        <w:lastRenderedPageBreak/>
        <w:t xml:space="preserve">As informações que se encontram no presente documento não devem substituir a realização dos testes adequados às suas circunstâncias e usos específicos. A Domino Portugal – Tecnologias de Codificação, S.A. e as empresas do grupo Domino não serão, de forma alguma, responsáveis por qualquer tipo de confiança depositada neste documento em relação à adequação de qualquer uma das nossas tintas à sua aplicação em particular. O presente documento não faz parte de quaisquer termos e condições celebrados entre si e a Domino Portugal. Exclusões de responsabilidade v.1.0 Fevereiro 2018. Os Termos e Condições de venda da Domino, em particular as garantias e responsabilidades presentes nos mesmos, dever-se-ão aplicar a qualquer uma das suas compras de produtos.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Geral</w:t>
      </w:r>
      <w:r w:rsidRPr="00DD5317">
        <w:rPr>
          <w:rFonts w:ascii="Noto Sans" w:hAnsi="Noto Sans" w:cs="Noto Sans"/>
          <w:sz w:val="20"/>
          <w:szCs w:val="20"/>
          <w:lang w:val="pt"/>
        </w:rPr>
        <w:br/>
        <w:t xml:space="preserve">As informações constantes no presente comunicado de imprensa são consideradas verdadeiras e corretas à data da publicação pela Domino. Qualquer alteração verificada após a data da publicação pode afetar a exatidão destas informações. Todos os valores em termos de desempenho e alegações citados no presente documento foram obtidos sob condições específicas e apenas poderão ser repetidos sob condições semelhantes. Para obter detalhes específicos do produto, deve entrar em contacto com o seu Account Manager da Domino Portugal. O presente documento não faz parte de quaisquer termos e condições celebrados entre si e a Domino Portugal.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Imagens</w:t>
      </w:r>
      <w:r w:rsidRPr="00DD5317">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Vídeos</w:t>
      </w:r>
      <w:r w:rsidRPr="00DD5317">
        <w:rPr>
          <w:rFonts w:ascii="Noto Sans" w:hAnsi="Noto Sans" w:cs="Noto Sans"/>
          <w:sz w:val="20"/>
          <w:szCs w:val="20"/>
          <w:lang w:val="pt"/>
        </w:rPr>
        <w:b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 Portugal.</w:t>
      </w:r>
      <w:r w:rsidRPr="00DD5317">
        <w:rPr>
          <w:rFonts w:ascii="Noto Sans" w:eastAsia="Gill Sans" w:hAnsi="Noto Sans" w:cs="Noto Sans"/>
          <w:sz w:val="20"/>
          <w:szCs w:val="20"/>
          <w:lang w:val="es-ES"/>
        </w:rPr>
        <w:br/>
      </w:r>
      <w:r w:rsidRPr="00DD5317">
        <w:rPr>
          <w:rFonts w:ascii="Noto Sans" w:eastAsia="Gill Sans" w:hAnsi="Noto Sans" w:cs="Noto Sans"/>
          <w:b/>
          <w:sz w:val="20"/>
          <w:szCs w:val="20"/>
          <w:lang w:val="es-ES"/>
        </w:rPr>
        <w:br/>
      </w:r>
      <w:r w:rsidRPr="00DD5317">
        <w:rPr>
          <w:rFonts w:ascii="Noto Sans" w:eastAsia="Gill Sans" w:hAnsi="Noto Sans" w:cs="Noto Sans"/>
          <w:b/>
          <w:bCs/>
          <w:sz w:val="20"/>
          <w:szCs w:val="20"/>
          <w:lang w:val="pt-PT"/>
        </w:rPr>
        <w:t>Notas para os editores:</w:t>
      </w:r>
      <w:r w:rsidRPr="00DD5317">
        <w:rPr>
          <w:rFonts w:ascii="Noto Sans" w:eastAsia="Gill Sans" w:hAnsi="Noto Sans" w:cs="Noto Sans"/>
          <w:b/>
          <w:sz w:val="20"/>
          <w:szCs w:val="20"/>
          <w:lang w:val="es-ES"/>
        </w:rPr>
        <w:br/>
      </w:r>
      <w:r w:rsidRPr="00DD5317">
        <w:rPr>
          <w:rFonts w:ascii="Noto Sans" w:eastAsia="Gill Sans" w:hAnsi="Noto Sans" w:cs="Noto Sans"/>
          <w:sz w:val="20"/>
          <w:szCs w:val="20"/>
          <w:lang w:val="es-ES"/>
        </w:rPr>
        <w:br/>
      </w:r>
      <w:r w:rsidRPr="00DD5317">
        <w:rPr>
          <w:rFonts w:ascii="Noto Sans" w:hAnsi="Noto Sans" w:cs="Noto Sans"/>
          <w:b/>
          <w:bCs/>
          <w:color w:val="000000" w:themeColor="text1"/>
          <w:sz w:val="20"/>
          <w:szCs w:val="20"/>
          <w:lang w:val="pt"/>
        </w:rPr>
        <w:t>Acerca da Domino</w:t>
      </w:r>
      <w:r w:rsidRPr="00DD5317">
        <w:rPr>
          <w:rFonts w:ascii="Noto Sans" w:hAnsi="Noto Sans" w:cs="Noto Sans"/>
          <w:b/>
          <w:bCs/>
          <w:color w:val="000000" w:themeColor="text1"/>
          <w:sz w:val="20"/>
          <w:szCs w:val="20"/>
          <w:lang w:val="pt"/>
        </w:rPr>
        <w:br/>
      </w:r>
      <w:r w:rsidRPr="00DD5317">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Pr="00DD5317">
        <w:rPr>
          <w:rFonts w:ascii="Noto Sans" w:hAnsi="Noto Sans" w:cs="Noto Sans"/>
          <w:sz w:val="20"/>
          <w:szCs w:val="20"/>
          <w:lang w:val="pt"/>
        </w:rPr>
        <w:br/>
      </w:r>
      <w:r w:rsidRPr="00DD5317">
        <w:rPr>
          <w:rFonts w:ascii="Noto Sans" w:hAnsi="Noto Sans" w:cs="Noto Sans"/>
          <w:sz w:val="20"/>
          <w:szCs w:val="20"/>
          <w:lang w:val="pt"/>
        </w:rPr>
        <w:lastRenderedPageBreak/>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Pr="00DD5317">
        <w:rPr>
          <w:rFonts w:ascii="Noto Sans" w:hAnsi="Noto Sans" w:cs="Noto Sans"/>
          <w:sz w:val="20"/>
          <w:szCs w:val="20"/>
          <w:lang w:val="pt"/>
        </w:rPr>
        <w:br/>
      </w:r>
      <w:r w:rsidRPr="00DD5317">
        <w:rPr>
          <w:rFonts w:ascii="Noto Sans" w:hAnsi="Noto Sans" w:cs="Noto Sans"/>
          <w:sz w:val="20"/>
          <w:szCs w:val="20"/>
          <w:lang w:val="pt"/>
        </w:rPr>
        <w:br/>
        <w:t xml:space="preserve">A Domino tornou-se uma divisão independente da Brother Industries Ltd. a 11 de junho de 2015. </w:t>
      </w:r>
      <w:r w:rsidRPr="00DD5317">
        <w:rPr>
          <w:rFonts w:ascii="Noto Sans" w:hAnsi="Noto Sans" w:cs="Noto Sans"/>
          <w:sz w:val="20"/>
          <w:szCs w:val="20"/>
          <w:lang w:val="pt"/>
        </w:rPr>
        <w:br/>
      </w:r>
      <w:r w:rsidRPr="00DD5317">
        <w:rPr>
          <w:rFonts w:ascii="Noto Sans" w:hAnsi="Noto Sans" w:cs="Noto Sans"/>
          <w:sz w:val="20"/>
          <w:szCs w:val="20"/>
          <w:lang w:val="pt"/>
        </w:rPr>
        <w:br/>
        <w:t>Para obter mais informações sobre a Domino,</w:t>
      </w:r>
      <w:r w:rsidRPr="00DD5317">
        <w:rPr>
          <w:rFonts w:ascii="Noto Sans" w:hAnsi="Noto Sans" w:cs="Noto Sans"/>
          <w:sz w:val="20"/>
          <w:szCs w:val="20"/>
          <w:lang w:val="pt"/>
        </w:rPr>
        <w:br/>
        <w:t xml:space="preserve">visite </w:t>
      </w:r>
      <w:hyperlink r:id="rId9" w:history="1">
        <w:r w:rsidRPr="00DD5317">
          <w:rPr>
            <w:rStyle w:val="Hyperlink"/>
            <w:rFonts w:ascii="Noto Sans" w:hAnsi="Noto Sans" w:cs="Noto Sans"/>
            <w:sz w:val="20"/>
            <w:szCs w:val="20"/>
            <w:lang w:val="pt"/>
          </w:rPr>
          <w:t>www.domino-printing.com</w:t>
        </w:r>
      </w:hyperlink>
      <w:r w:rsidRPr="00DD5317">
        <w:rPr>
          <w:rFonts w:ascii="Noto Sans" w:hAnsi="Noto Sans" w:cs="Noto Sans"/>
          <w:sz w:val="20"/>
          <w:szCs w:val="20"/>
          <w:lang w:val="pt"/>
        </w:rPr>
        <w:t xml:space="preserve">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hAnsi="Noto Sans" w:cs="Noto Sans"/>
          <w:b/>
          <w:bCs/>
          <w:sz w:val="20"/>
          <w:szCs w:val="20"/>
          <w:lang w:val="pt"/>
        </w:rPr>
        <w:t>Deverá contactar:</w:t>
      </w:r>
      <w:r w:rsidRPr="00DD5317">
        <w:rPr>
          <w:rFonts w:ascii="Noto Sans" w:hAnsi="Noto Sans" w:cs="Noto Sans"/>
          <w:sz w:val="20"/>
          <w:szCs w:val="20"/>
          <w:lang w:val="pt"/>
        </w:rPr>
        <w:br/>
      </w:r>
      <w:r w:rsidRPr="00DD5317">
        <w:rPr>
          <w:rFonts w:ascii="Noto Sans" w:hAnsi="Noto Sans" w:cs="Noto Sans"/>
          <w:sz w:val="20"/>
          <w:szCs w:val="20"/>
          <w:lang w:val="pt"/>
        </w:rPr>
        <w:br/>
        <w:t>Jade Taylor-Salazar</w:t>
      </w:r>
      <w:r w:rsidRPr="00DD5317">
        <w:rPr>
          <w:rFonts w:ascii="Noto Sans" w:hAnsi="Noto Sans" w:cs="Noto Sans"/>
          <w:sz w:val="20"/>
          <w:szCs w:val="20"/>
          <w:lang w:val="pt"/>
        </w:rPr>
        <w:br/>
        <w:t xml:space="preserve">PR and Content Manager </w:t>
      </w:r>
      <w:r w:rsidRPr="00DD5317">
        <w:rPr>
          <w:rFonts w:ascii="Noto Sans" w:hAnsi="Noto Sans" w:cs="Noto Sans"/>
          <w:sz w:val="20"/>
          <w:szCs w:val="20"/>
          <w:lang w:val="pt"/>
        </w:rPr>
        <w:br/>
        <w:t xml:space="preserve">Domino Printing Sciences </w:t>
      </w:r>
      <w:r w:rsidRPr="00DD5317">
        <w:rPr>
          <w:rFonts w:ascii="Noto Sans" w:hAnsi="Noto Sans" w:cs="Noto Sans"/>
          <w:sz w:val="20"/>
          <w:szCs w:val="20"/>
          <w:lang w:val="pt"/>
        </w:rPr>
        <w:br/>
        <w:t>Tel.: +44 (0) 1954 778 780</w:t>
      </w:r>
      <w:r w:rsidRPr="00DD5317">
        <w:rPr>
          <w:rFonts w:ascii="Noto Sans" w:hAnsi="Noto Sans" w:cs="Noto Sans"/>
          <w:sz w:val="20"/>
          <w:szCs w:val="20"/>
          <w:lang w:val="pt"/>
        </w:rPr>
        <w:br/>
      </w:r>
      <w:hyperlink r:id="rId10" w:history="1">
        <w:r w:rsidRPr="00DD5317">
          <w:rPr>
            <w:rStyle w:val="Hyperlink"/>
            <w:rFonts w:ascii="Noto Sans" w:hAnsi="Noto Sans" w:cs="Noto Sans"/>
            <w:sz w:val="20"/>
            <w:szCs w:val="20"/>
            <w:lang w:val="pt"/>
          </w:rPr>
          <w:t>Jade.Taylor-Salazar@domino-uk.com</w:t>
        </w:r>
      </w:hyperlink>
      <w:r w:rsidRPr="00DD5317">
        <w:rPr>
          <w:rFonts w:ascii="Noto Sans" w:hAnsi="Noto Sans" w:cs="Noto Sans"/>
          <w:sz w:val="20"/>
          <w:szCs w:val="20"/>
          <w:lang w:val="pt"/>
        </w:rPr>
        <w:t xml:space="preserve"> </w:t>
      </w:r>
      <w:r w:rsidRPr="00DD5317">
        <w:rPr>
          <w:rFonts w:ascii="Noto Sans" w:hAnsi="Noto Sans" w:cs="Noto Sans"/>
          <w:sz w:val="20"/>
          <w:szCs w:val="20"/>
          <w:lang w:val="pt"/>
        </w:rPr>
        <w:br/>
      </w:r>
      <w:r w:rsidRPr="00DD5317">
        <w:rPr>
          <w:rFonts w:ascii="Noto Sans" w:hAnsi="Noto Sans" w:cs="Noto Sans"/>
          <w:sz w:val="20"/>
          <w:szCs w:val="20"/>
          <w:lang w:val="pt"/>
        </w:rPr>
        <w:br/>
      </w:r>
      <w:r w:rsidRPr="00DD5317">
        <w:rPr>
          <w:rFonts w:ascii="Noto Sans" w:eastAsiaTheme="minorHAnsi" w:hAnsi="Noto Sans" w:cs="Noto Sans"/>
          <w:sz w:val="20"/>
          <w:szCs w:val="20"/>
          <w:lang w:val="pt-PT"/>
        </w:rPr>
        <w:t>Daniela Ribeiro</w:t>
      </w:r>
      <w:r w:rsidRPr="00DD5317">
        <w:rPr>
          <w:rFonts w:ascii="Noto Sans" w:eastAsiaTheme="minorHAnsi" w:hAnsi="Noto Sans" w:cs="Noto Sans"/>
          <w:sz w:val="20"/>
          <w:szCs w:val="20"/>
          <w:lang w:val="pt-PT"/>
        </w:rPr>
        <w:br/>
        <w:t>Marketing and Communications Executive</w:t>
      </w:r>
      <w:r w:rsidRPr="00DD5317">
        <w:rPr>
          <w:rFonts w:ascii="Noto Sans" w:eastAsiaTheme="minorHAnsi" w:hAnsi="Noto Sans" w:cs="Noto Sans"/>
          <w:sz w:val="20"/>
          <w:szCs w:val="20"/>
          <w:lang w:val="pt-PT"/>
        </w:rPr>
        <w:br/>
        <w:t>Domino Portugal</w:t>
      </w:r>
      <w:r w:rsidRPr="00DD5317">
        <w:rPr>
          <w:rFonts w:ascii="Noto Sans" w:eastAsiaTheme="minorHAnsi" w:hAnsi="Noto Sans" w:cs="Noto Sans"/>
          <w:sz w:val="20"/>
          <w:szCs w:val="20"/>
          <w:lang w:val="pt-PT"/>
        </w:rPr>
        <w:br/>
        <w:t>Tel.: +351 919866148</w:t>
      </w:r>
      <w:r w:rsidRPr="00DD5317">
        <w:rPr>
          <w:rFonts w:ascii="Noto Sans" w:eastAsiaTheme="minorHAnsi" w:hAnsi="Noto Sans" w:cs="Noto Sans"/>
          <w:sz w:val="20"/>
          <w:szCs w:val="20"/>
          <w:lang w:val="pt-PT"/>
        </w:rPr>
        <w:br/>
      </w:r>
      <w:hyperlink r:id="rId11" w:history="1">
        <w:r w:rsidRPr="00DD5317">
          <w:rPr>
            <w:rStyle w:val="Hyperlink"/>
            <w:rFonts w:ascii="Noto Sans" w:eastAsiaTheme="minorHAnsi" w:hAnsi="Noto Sans" w:cs="Noto Sans"/>
            <w:sz w:val="20"/>
            <w:szCs w:val="20"/>
            <w:lang w:val="pt-PT"/>
          </w:rPr>
          <w:t>Daniela.Ribeiro@domino-portugal.com</w:t>
        </w:r>
      </w:hyperlink>
      <w:r w:rsidRPr="00DD5317">
        <w:rPr>
          <w:rFonts w:ascii="Noto Sans" w:eastAsiaTheme="minorHAnsi" w:hAnsi="Noto Sans" w:cs="Noto Sans"/>
          <w:sz w:val="22"/>
          <w:lang w:val="pt-PT"/>
        </w:rPr>
        <w:t xml:space="preserve"> </w:t>
      </w:r>
    </w:p>
    <w:p w14:paraId="6FABE7D1" w14:textId="77777777" w:rsidR="00DD5317" w:rsidRPr="00DD5317" w:rsidRDefault="00DD5317" w:rsidP="00DD5317">
      <w:pPr>
        <w:spacing w:after="160" w:line="240" w:lineRule="auto"/>
        <w:rPr>
          <w:rFonts w:ascii="Noto Sans" w:eastAsiaTheme="minorHAnsi" w:hAnsi="Noto Sans" w:cs="Noto Sans"/>
          <w:color w:val="0D0D0D" w:themeColor="text1" w:themeTint="F2"/>
          <w:sz w:val="20"/>
          <w:szCs w:val="20"/>
          <w:lang w:val="pt-PT"/>
        </w:rPr>
      </w:pPr>
    </w:p>
    <w:bookmarkEnd w:id="1"/>
    <w:p w14:paraId="661C8882" w14:textId="30E92FA4" w:rsidR="00DD5317" w:rsidRPr="00DD5317" w:rsidRDefault="00DD5317" w:rsidP="00DD5317">
      <w:pPr>
        <w:spacing w:after="160" w:line="259" w:lineRule="auto"/>
        <w:rPr>
          <w:rFonts w:ascii="Noto Sans" w:eastAsiaTheme="minorHAnsi" w:hAnsi="Noto Sans" w:cs="Noto Sans"/>
          <w:sz w:val="22"/>
        </w:rPr>
      </w:pPr>
    </w:p>
    <w:p w14:paraId="53EB7C38" w14:textId="77777777" w:rsidR="005524DB" w:rsidRPr="00DD5317" w:rsidRDefault="005524DB" w:rsidP="008E7573">
      <w:pPr>
        <w:rPr>
          <w:rFonts w:ascii="Noto Sans" w:hAnsi="Noto Sans" w:cs="Noto Sans"/>
        </w:rPr>
      </w:pPr>
    </w:p>
    <w:sectPr w:rsidR="005524DB" w:rsidRPr="00DD5317"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67609" w14:textId="77777777" w:rsidR="00701D36" w:rsidRDefault="00701D36" w:rsidP="00785717">
      <w:pPr>
        <w:spacing w:line="240" w:lineRule="auto"/>
      </w:pPr>
      <w:r>
        <w:separator/>
      </w:r>
    </w:p>
  </w:endnote>
  <w:endnote w:type="continuationSeparator" w:id="0">
    <w:p w14:paraId="153ADCD1" w14:textId="77777777" w:rsidR="00701D36" w:rsidRDefault="00701D36"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EBAB8" w14:textId="77777777" w:rsidR="00701D36" w:rsidRDefault="00701D36" w:rsidP="00785717">
      <w:pPr>
        <w:spacing w:line="240" w:lineRule="auto"/>
      </w:pPr>
      <w:r>
        <w:separator/>
      </w:r>
    </w:p>
  </w:footnote>
  <w:footnote w:type="continuationSeparator" w:id="0">
    <w:p w14:paraId="766E3878" w14:textId="77777777" w:rsidR="00701D36" w:rsidRDefault="00701D36"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76E1F"/>
    <w:rsid w:val="001D743C"/>
    <w:rsid w:val="002766D9"/>
    <w:rsid w:val="002C3337"/>
    <w:rsid w:val="00372E92"/>
    <w:rsid w:val="005272B1"/>
    <w:rsid w:val="005524DB"/>
    <w:rsid w:val="005741C7"/>
    <w:rsid w:val="0060122E"/>
    <w:rsid w:val="00647055"/>
    <w:rsid w:val="00660F46"/>
    <w:rsid w:val="00682566"/>
    <w:rsid w:val="00701D3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DD5317"/>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DD5317"/>
    <w:rPr>
      <w:sz w:val="16"/>
      <w:szCs w:val="16"/>
    </w:rPr>
  </w:style>
  <w:style w:type="paragraph" w:styleId="CommentText">
    <w:name w:val="annotation text"/>
    <w:basedOn w:val="Normal"/>
    <w:link w:val="CommentTextChar"/>
    <w:uiPriority w:val="99"/>
    <w:unhideWhenUsed/>
    <w:rsid w:val="00DD5317"/>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D53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pt-pt/home.aspx?utm_medium=non-paid&amp;utm_source=onlinepublication&amp;utm_content=bandc-beyond-compliance-tlp-pt&amp;utm_campaign=2026-int-pt-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pt-pt/blog/2025/construcao-mais-inteligente-o-papel-dos-codigos-2d-para-otimizar-a-coordenacao?utm_medium=non-paid&amp;utm_source=onlinepublication&amp;utm_content=bandc-beyond-compliance-tlp-pt&amp;utm_campaign=2026-int-pt-global-pr-cm-fy26-q1" TargetMode="External"/><Relationship Id="rId11" Type="http://schemas.openxmlformats.org/officeDocument/2006/relationships/hyperlink" Target="mailto:Daniela.Ribeiro@domino-portugal.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p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5</TotalTime>
  <Pages>6</Pages>
  <Words>2104</Words>
  <Characters>11996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2026-07-28T08:35:00Z</dcterms:created>
  <dcterms:modified xsi:type="dcterms:W3CDTF">2026-07-28T08:35:00Z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