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A4E65" w14:textId="77777777" w:rsidR="004500E2" w:rsidRPr="00F444C9" w:rsidRDefault="004500E2" w:rsidP="004500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after="0" w:line="276" w:lineRule="auto"/>
        <w:jc w:val="both"/>
        <w:rPr>
          <w:color w:val="auto"/>
        </w:rPr>
      </w:pPr>
    </w:p>
    <w:p w14:paraId="683E2A84"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jc w:val="both"/>
        <w:rPr>
          <w:noProof/>
          <w:color w:val="auto"/>
          <w:sz w:val="22"/>
        </w:rPr>
      </w:pPr>
    </w:p>
    <w:p w14:paraId="33F20224"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jc w:val="right"/>
        <w:rPr>
          <w:rFonts w:eastAsia="Calibri" w:cs="Times New Roman"/>
          <w:color w:val="auto"/>
          <w:sz w:val="22"/>
          <w:bdr w:val="none" w:sz="0" w:space="0" w:color="auto"/>
          <w:lang w:eastAsia="en-US"/>
        </w:rPr>
      </w:pPr>
      <w:r w:rsidRPr="00F444C9">
        <w:rPr>
          <w:rFonts w:eastAsia="Calibri" w:cs="Times New Roman"/>
          <w:color w:val="auto"/>
          <w:sz w:val="22"/>
          <w:bdr w:val="none" w:sz="0" w:space="0" w:color="auto"/>
          <w:lang w:eastAsia="en-US"/>
        </w:rPr>
        <w:t>Katowice,</w:t>
      </w:r>
      <w:r>
        <w:rPr>
          <w:rFonts w:eastAsia="Calibri" w:cs="Times New Roman"/>
          <w:color w:val="auto"/>
          <w:sz w:val="22"/>
          <w:bdr w:val="none" w:sz="0" w:space="0" w:color="auto"/>
          <w:lang w:eastAsia="en-US"/>
        </w:rPr>
        <w:t xml:space="preserve"> 28.</w:t>
      </w:r>
      <w:r w:rsidRPr="00F444C9">
        <w:rPr>
          <w:rFonts w:eastAsia="Calibri" w:cs="Times New Roman"/>
          <w:color w:val="auto"/>
          <w:sz w:val="22"/>
          <w:bdr w:val="none" w:sz="0" w:space="0" w:color="auto"/>
          <w:lang w:eastAsia="en-US"/>
        </w:rPr>
        <w:t>07.2026 r.</w:t>
      </w:r>
    </w:p>
    <w:p w14:paraId="6648E00A"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Calibri" w:cs="Times New Roman"/>
          <w:b/>
          <w:bCs/>
          <w:color w:val="auto"/>
          <w:szCs w:val="24"/>
          <w:bdr w:val="none" w:sz="0" w:space="0" w:color="auto"/>
          <w:lang w:eastAsia="en-US"/>
        </w:rPr>
      </w:pPr>
    </w:p>
    <w:p w14:paraId="14C7CBFB"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eastAsia="Calibri" w:cs="Times New Roman"/>
          <w:b/>
          <w:bCs/>
          <w:color w:val="auto"/>
          <w:sz w:val="28"/>
          <w:szCs w:val="28"/>
          <w:bdr w:val="none" w:sz="0" w:space="0" w:color="auto"/>
          <w:lang w:eastAsia="en-US"/>
        </w:rPr>
      </w:pPr>
      <w:r w:rsidRPr="00F444C9">
        <w:rPr>
          <w:rFonts w:eastAsia="Calibri" w:cs="Times New Roman"/>
          <w:b/>
          <w:bCs/>
          <w:color w:val="auto"/>
          <w:sz w:val="28"/>
          <w:szCs w:val="28"/>
          <w:bdr w:val="none" w:sz="0" w:space="0" w:color="auto"/>
          <w:lang w:eastAsia="en-US"/>
        </w:rPr>
        <w:t>Stacje szybkiego ładowania pojazdów elektrycznych przy sklepach meblowych znanej marki. Agata rozpoczęła współpracę z EDRI</w:t>
      </w:r>
    </w:p>
    <w:p w14:paraId="4FE928AF"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eastAsia="Calibri" w:cs="Times New Roman"/>
          <w:b/>
          <w:bCs/>
          <w:color w:val="auto"/>
          <w:sz w:val="22"/>
          <w:bdr w:val="none" w:sz="0" w:space="0" w:color="auto"/>
          <w:lang w:eastAsia="en-US"/>
        </w:rPr>
      </w:pPr>
      <w:r w:rsidRPr="00F444C9">
        <w:rPr>
          <w:rFonts w:eastAsia="Calibri" w:cs="Times New Roman"/>
          <w:b/>
          <w:bCs/>
          <w:color w:val="auto"/>
          <w:sz w:val="22"/>
          <w:bdr w:val="none" w:sz="0" w:space="0" w:color="auto"/>
          <w:lang w:eastAsia="en-US"/>
        </w:rPr>
        <w:t xml:space="preserve">Agata S.A., jedna z najpopularniejszych polskich sieci oferujących meble oraz akcesoria wyposażenia wnętrz rozpoczyna współpracę z E.ON Drive </w:t>
      </w:r>
      <w:proofErr w:type="spellStart"/>
      <w:r w:rsidRPr="00F444C9">
        <w:rPr>
          <w:rFonts w:eastAsia="Calibri" w:cs="Times New Roman"/>
          <w:b/>
          <w:bCs/>
          <w:color w:val="auto"/>
          <w:sz w:val="22"/>
          <w:bdr w:val="none" w:sz="0" w:space="0" w:color="auto"/>
          <w:lang w:eastAsia="en-US"/>
        </w:rPr>
        <w:t>Infrastructure</w:t>
      </w:r>
      <w:proofErr w:type="spellEnd"/>
      <w:r w:rsidRPr="00F444C9">
        <w:rPr>
          <w:rFonts w:eastAsia="Calibri" w:cs="Times New Roman"/>
          <w:b/>
          <w:bCs/>
          <w:color w:val="auto"/>
          <w:sz w:val="22"/>
          <w:bdr w:val="none" w:sz="0" w:space="0" w:color="auto"/>
          <w:lang w:eastAsia="en-US"/>
        </w:rPr>
        <w:t xml:space="preserve"> (EDRI) Poland – operatorem ogólnodostępnej infrastruktury ładowania pojazdów elektrycznych. Jeszcze w tym roku, przy wielkopowierzchniowych sklepach marki zlokalizowanych w największych miastach Polski, będą budowane stacje ultraszybkiego ładowania EV. Wspólna inicjatywa to nie tylko efekt strategii biznesowych Agaty i EDRI, ale przede wszystkim – ukłon w stronę Klientów sklepów, którzy oczekują dogodnych rozwiązań także podczas dokonywania zakupów.</w:t>
      </w:r>
    </w:p>
    <w:p w14:paraId="3ECAACDF"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eastAsia="Calibri" w:cs="Times New Roman"/>
          <w:color w:val="auto"/>
          <w:sz w:val="22"/>
          <w:bdr w:val="none" w:sz="0" w:space="0" w:color="auto"/>
          <w:lang w:eastAsia="en-US"/>
        </w:rPr>
      </w:pPr>
      <w:r w:rsidRPr="00F444C9">
        <w:rPr>
          <w:rFonts w:eastAsia="Calibri" w:cs="Times New Roman"/>
          <w:color w:val="auto"/>
          <w:sz w:val="22"/>
          <w:bdr w:val="none" w:sz="0" w:space="0" w:color="auto"/>
          <w:lang w:eastAsia="en-US"/>
        </w:rPr>
        <w:t>Przy wielkopowierzchniowych sklepach Agata z pełną ofertą mebli i dodatków, które od lat działają w największych miastach Polski, już niebawem ulokowane zostaną tzw. huby ładowania pojazdów elektrycznych. Stacje będą pojawiać się przy salonach stopniowo, a co istotne</w:t>
      </w:r>
      <w:r>
        <w:rPr>
          <w:rFonts w:eastAsia="Calibri" w:cs="Times New Roman"/>
          <w:color w:val="auto"/>
          <w:sz w:val="22"/>
          <w:bdr w:val="none" w:sz="0" w:space="0" w:color="auto"/>
          <w:lang w:eastAsia="en-US"/>
        </w:rPr>
        <w:t>,</w:t>
      </w:r>
      <w:r w:rsidRPr="00F444C9">
        <w:rPr>
          <w:rFonts w:eastAsia="Calibri" w:cs="Times New Roman"/>
          <w:color w:val="auto"/>
          <w:sz w:val="22"/>
          <w:bdr w:val="none" w:sz="0" w:space="0" w:color="auto"/>
          <w:lang w:eastAsia="en-US"/>
        </w:rPr>
        <w:t xml:space="preserve"> </w:t>
      </w:r>
      <w:r>
        <w:rPr>
          <w:rFonts w:eastAsia="Calibri" w:cs="Times New Roman"/>
          <w:color w:val="auto"/>
          <w:sz w:val="22"/>
          <w:bdr w:val="none" w:sz="0" w:space="0" w:color="auto"/>
          <w:lang w:eastAsia="en-US"/>
        </w:rPr>
        <w:t xml:space="preserve">wśród nich znajdą się punkty ładowania </w:t>
      </w:r>
      <w:r w:rsidRPr="00F62596">
        <w:rPr>
          <w:rFonts w:eastAsia="Calibri" w:cs="Times New Roman"/>
          <w:color w:val="auto"/>
          <w:sz w:val="22"/>
          <w:bdr w:val="none" w:sz="0" w:space="0" w:color="auto"/>
          <w:lang w:eastAsia="en-US"/>
        </w:rPr>
        <w:t>o najwyższych moc</w:t>
      </w:r>
      <w:r w:rsidRPr="00C854A0">
        <w:rPr>
          <w:rFonts w:eastAsia="Calibri" w:cs="Times New Roman"/>
          <w:color w:val="auto"/>
          <w:sz w:val="22"/>
          <w:bdr w:val="none" w:sz="0" w:space="0" w:color="auto"/>
          <w:lang w:eastAsia="en-US"/>
        </w:rPr>
        <w:t>ach</w:t>
      </w:r>
      <w:r w:rsidRPr="00F62596">
        <w:rPr>
          <w:rFonts w:eastAsia="Calibri" w:cs="Times New Roman"/>
          <w:color w:val="auto"/>
          <w:sz w:val="22"/>
          <w:bdr w:val="none" w:sz="0" w:space="0" w:color="auto"/>
          <w:lang w:eastAsia="en-US"/>
        </w:rPr>
        <w:t>,</w:t>
      </w:r>
      <w:r w:rsidRPr="00F444C9">
        <w:rPr>
          <w:rFonts w:eastAsia="Calibri" w:cs="Times New Roman"/>
          <w:color w:val="auto"/>
          <w:sz w:val="22"/>
          <w:bdr w:val="none" w:sz="0" w:space="0" w:color="auto"/>
          <w:lang w:eastAsia="en-US"/>
        </w:rPr>
        <w:t xml:space="preserve"> charakterystycznych dla infrastruktury zlokalizowanej przy autostradach i drogach szybkiego ruchu. </w:t>
      </w:r>
    </w:p>
    <w:p w14:paraId="0056C50D"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eastAsia="Calibri" w:cs="Times New Roman"/>
          <w:b/>
          <w:bCs/>
          <w:color w:val="auto"/>
          <w:sz w:val="22"/>
          <w:bdr w:val="none" w:sz="0" w:space="0" w:color="auto"/>
          <w:lang w:eastAsia="en-US"/>
        </w:rPr>
      </w:pPr>
      <w:r w:rsidRPr="00F444C9">
        <w:rPr>
          <w:rFonts w:eastAsia="Calibri" w:cs="Times New Roman"/>
          <w:b/>
          <w:bCs/>
          <w:color w:val="auto"/>
          <w:sz w:val="22"/>
          <w:bdr w:val="none" w:sz="0" w:space="0" w:color="auto"/>
          <w:lang w:eastAsia="en-US"/>
        </w:rPr>
        <w:t>Ultraszybkie rozwiązanie dla zmotoryzowanych Klientów</w:t>
      </w:r>
    </w:p>
    <w:p w14:paraId="1BD235A1"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eastAsia="Calibri" w:cs="Times New Roman"/>
          <w:color w:val="auto"/>
          <w:sz w:val="22"/>
          <w:bdr w:val="none" w:sz="0" w:space="0" w:color="auto"/>
          <w:lang w:eastAsia="en-US"/>
        </w:rPr>
      </w:pPr>
      <w:r w:rsidRPr="00F444C9">
        <w:rPr>
          <w:rFonts w:eastAsia="Calibri" w:cs="Times New Roman"/>
          <w:color w:val="auto"/>
          <w:sz w:val="22"/>
          <w:bdr w:val="none" w:sz="0" w:space="0" w:color="auto"/>
          <w:lang w:eastAsia="en-US"/>
        </w:rPr>
        <w:t xml:space="preserve">Moc stacji tzw. High Power </w:t>
      </w:r>
      <w:proofErr w:type="spellStart"/>
      <w:r w:rsidRPr="00F444C9">
        <w:rPr>
          <w:rFonts w:eastAsia="Calibri" w:cs="Times New Roman"/>
          <w:color w:val="auto"/>
          <w:sz w:val="22"/>
          <w:bdr w:val="none" w:sz="0" w:space="0" w:color="auto"/>
          <w:lang w:eastAsia="en-US"/>
        </w:rPr>
        <w:t>Charging</w:t>
      </w:r>
      <w:proofErr w:type="spellEnd"/>
      <w:r w:rsidRPr="00F444C9">
        <w:rPr>
          <w:rFonts w:eastAsia="Calibri" w:cs="Times New Roman"/>
          <w:color w:val="auto"/>
          <w:sz w:val="22"/>
          <w:bdr w:val="none" w:sz="0" w:space="0" w:color="auto"/>
          <w:lang w:eastAsia="en-US"/>
        </w:rPr>
        <w:t xml:space="preserve"> (HPC) oscylować będzie między 200 a 400 kW; przy sklepie Agaty znajdzie się od 2 do 5 stacji, które obsłużą jednocześnie od 4 do 10 pojazdów. Już kilkunastominutowa sesja ładowania pozw</w:t>
      </w:r>
      <w:r>
        <w:rPr>
          <w:rFonts w:eastAsia="Calibri" w:cs="Times New Roman"/>
          <w:color w:val="auto"/>
          <w:sz w:val="22"/>
          <w:bdr w:val="none" w:sz="0" w:space="0" w:color="auto"/>
          <w:lang w:eastAsia="en-US"/>
        </w:rPr>
        <w:t>o</w:t>
      </w:r>
      <w:r w:rsidRPr="00F444C9">
        <w:rPr>
          <w:rFonts w:eastAsia="Calibri" w:cs="Times New Roman"/>
          <w:color w:val="auto"/>
          <w:sz w:val="22"/>
          <w:bdr w:val="none" w:sz="0" w:space="0" w:color="auto"/>
          <w:lang w:eastAsia="en-US"/>
        </w:rPr>
        <w:t>li zwiększyć zasięg pojazdu nawet o kilkaset kilometrów. Końcowe parametry techniczne infrastruktury będą zróżnicowane, uzależnione od lokalizacji oraz dostępności mocy z sieci energetycznej.</w:t>
      </w:r>
    </w:p>
    <w:p w14:paraId="6A6013EA"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eastAsia="Calibri" w:cs="Times New Roman"/>
          <w:b/>
          <w:bCs/>
          <w:color w:val="auto"/>
          <w:sz w:val="22"/>
          <w:bdr w:val="none" w:sz="0" w:space="0" w:color="auto"/>
          <w:lang w:eastAsia="en-US"/>
        </w:rPr>
      </w:pPr>
      <w:r w:rsidRPr="00F444C9">
        <w:rPr>
          <w:rFonts w:eastAsia="Calibri" w:cs="Times New Roman"/>
          <w:color w:val="auto"/>
          <w:sz w:val="22"/>
          <w:bdr w:val="none" w:sz="0" w:space="0" w:color="auto"/>
          <w:lang w:eastAsia="en-US"/>
        </w:rPr>
        <w:t xml:space="preserve">– </w:t>
      </w:r>
      <w:r w:rsidRPr="00F444C9">
        <w:rPr>
          <w:rFonts w:eastAsia="Calibri" w:cs="Times New Roman"/>
          <w:i/>
          <w:iCs/>
          <w:color w:val="auto"/>
          <w:sz w:val="22"/>
          <w:bdr w:val="none" w:sz="0" w:space="0" w:color="auto"/>
          <w:lang w:eastAsia="en-US"/>
        </w:rPr>
        <w:t>Obserwujemy, jak zmienia się rynek oraz oczekiwania klientów, wśród których jest coraz więcej użytkowników pojazdów elektrycznych. Wiemy, że szybkie i dostępne ładowanie jest dla nich kwestią bardzo ważną, dlatego chcemy dać im taką możliwość poprzez współpracę z EDRI Poland. Przy każdym z naszych salonów znajduje się obszerny, ogólnodostępny parking, który doskonale nadaje się na lokalizację infrastruktury do szybkiego ładowania EV. Tym samym staje się on idealnym miejscem dla kierowców, którzy zakupy mogą połączyć z ładowaniem</w:t>
      </w:r>
      <w:r w:rsidRPr="00F444C9">
        <w:rPr>
          <w:rFonts w:eastAsia="Calibri" w:cs="Times New Roman"/>
          <w:color w:val="auto"/>
          <w:sz w:val="22"/>
          <w:bdr w:val="none" w:sz="0" w:space="0" w:color="auto"/>
          <w:lang w:eastAsia="en-US"/>
        </w:rPr>
        <w:t xml:space="preserve"> </w:t>
      </w:r>
      <w:r w:rsidRPr="00F444C9">
        <w:rPr>
          <w:rFonts w:eastAsia="Calibri" w:cs="Times New Roman"/>
          <w:i/>
          <w:iCs/>
          <w:color w:val="auto"/>
          <w:sz w:val="22"/>
          <w:bdr w:val="none" w:sz="0" w:space="0" w:color="auto"/>
          <w:lang w:eastAsia="en-US"/>
        </w:rPr>
        <w:t>samochodu</w:t>
      </w:r>
      <w:r w:rsidRPr="00F444C9">
        <w:rPr>
          <w:rFonts w:eastAsia="Calibri" w:cs="Times New Roman"/>
          <w:color w:val="auto"/>
          <w:sz w:val="22"/>
          <w:bdr w:val="none" w:sz="0" w:space="0" w:color="auto"/>
          <w:lang w:eastAsia="en-US"/>
        </w:rPr>
        <w:t xml:space="preserve"> – komentuje </w:t>
      </w:r>
      <w:r w:rsidRPr="00F444C9">
        <w:rPr>
          <w:rFonts w:eastAsia="Calibri" w:cs="Times New Roman"/>
          <w:b/>
          <w:bCs/>
          <w:color w:val="auto"/>
          <w:sz w:val="22"/>
          <w:bdr w:val="none" w:sz="0" w:space="0" w:color="auto"/>
          <w:lang w:eastAsia="en-US"/>
        </w:rPr>
        <w:t>Wojciech Frysz, Dyrektor ds. Zarządzania Nieruchomościami w firmie Agata S.A.</w:t>
      </w:r>
    </w:p>
    <w:p w14:paraId="02E8E99A" w14:textId="77777777" w:rsidR="004500E2" w:rsidRPr="00F444C9" w:rsidRDefault="004500E2" w:rsidP="004500E2">
      <w:pPr>
        <w:jc w:val="both"/>
        <w:rPr>
          <w:rFonts w:eastAsia="Calibri" w:cs="Times New Roman"/>
          <w:i/>
          <w:iCs/>
          <w:color w:val="auto"/>
          <w:sz w:val="22"/>
          <w:bdr w:val="none" w:sz="0" w:space="0" w:color="auto"/>
          <w:lang w:eastAsia="en-US"/>
        </w:rPr>
      </w:pPr>
      <w:r w:rsidRPr="00F444C9">
        <w:rPr>
          <w:rFonts w:eastAsia="Calibri" w:cs="Times New Roman"/>
          <w:b/>
          <w:bCs/>
          <w:color w:val="auto"/>
          <w:sz w:val="22"/>
          <w:bdr w:val="none" w:sz="0" w:space="0" w:color="auto"/>
          <w:lang w:eastAsia="en-US"/>
        </w:rPr>
        <w:t xml:space="preserve">Jacek Błaszczyński, Dyrektor Zarządzający E.ON Drive </w:t>
      </w:r>
      <w:proofErr w:type="spellStart"/>
      <w:r w:rsidRPr="00F444C9">
        <w:rPr>
          <w:rFonts w:eastAsia="Calibri" w:cs="Times New Roman"/>
          <w:b/>
          <w:bCs/>
          <w:color w:val="auto"/>
          <w:sz w:val="22"/>
          <w:bdr w:val="none" w:sz="0" w:space="0" w:color="auto"/>
          <w:lang w:eastAsia="en-US"/>
        </w:rPr>
        <w:t>Infrastructure</w:t>
      </w:r>
      <w:proofErr w:type="spellEnd"/>
      <w:r w:rsidRPr="00F444C9">
        <w:rPr>
          <w:rFonts w:eastAsia="Calibri" w:cs="Times New Roman"/>
          <w:b/>
          <w:bCs/>
          <w:color w:val="auto"/>
          <w:sz w:val="22"/>
          <w:bdr w:val="none" w:sz="0" w:space="0" w:color="auto"/>
          <w:lang w:eastAsia="en-US"/>
        </w:rPr>
        <w:t xml:space="preserve"> (EDRI) Poland dodaje: </w:t>
      </w:r>
      <w:r w:rsidRPr="00F444C9">
        <w:rPr>
          <w:rFonts w:eastAsia="Calibri" w:cs="Times New Roman"/>
          <w:color w:val="auto"/>
          <w:sz w:val="22"/>
          <w:bdr w:val="none" w:sz="0" w:space="0" w:color="auto"/>
          <w:lang w:eastAsia="en-US"/>
        </w:rPr>
        <w:t xml:space="preserve">– </w:t>
      </w:r>
      <w:r w:rsidRPr="00F444C9">
        <w:rPr>
          <w:rFonts w:eastAsia="Calibri" w:cs="Times New Roman"/>
          <w:i/>
          <w:iCs/>
          <w:color w:val="auto"/>
          <w:sz w:val="22"/>
          <w:bdr w:val="none" w:sz="0" w:space="0" w:color="auto"/>
          <w:lang w:eastAsia="en-US"/>
        </w:rPr>
        <w:t xml:space="preserve">Agata S.A. to dla nas idealny partner w postępującym procesie budowy polskiego fragmentu  paneuropejskiej sieci stacji ładowania EDRI. Jako jeden z liderów branży meblowej, marka ta ma niesłabnące ambicje </w:t>
      </w:r>
      <w:r w:rsidRPr="00F444C9">
        <w:rPr>
          <w:rFonts w:eastAsia="Calibri" w:cs="Times New Roman"/>
          <w:i/>
          <w:iCs/>
          <w:color w:val="auto"/>
          <w:sz w:val="22"/>
          <w:bdr w:val="none" w:sz="0" w:space="0" w:color="auto"/>
          <w:lang w:eastAsia="en-US"/>
        </w:rPr>
        <w:br/>
        <w:t xml:space="preserve">i plany rozwoju oraz ogólnokrajowy charakter, z obecnością w niemal każdym dużym mieście. Od momentu rozpoczęcia współpracy, jej początkowy zakres obejmujący ponad 30 lokalizacji, już zdążył się rozszerzyć o dodatkowe punkty na naszej wspólnej mapie. Projekt ma więc charakter otwarty </w:t>
      </w:r>
      <w:r w:rsidRPr="00F444C9">
        <w:rPr>
          <w:rFonts w:eastAsia="Calibri" w:cs="Times New Roman"/>
          <w:i/>
          <w:iCs/>
          <w:color w:val="auto"/>
          <w:sz w:val="22"/>
          <w:bdr w:val="none" w:sz="0" w:space="0" w:color="auto"/>
          <w:lang w:eastAsia="en-US"/>
        </w:rPr>
        <w:br/>
        <w:t>i długofalowy.</w:t>
      </w:r>
    </w:p>
    <w:p w14:paraId="3C567A82" w14:textId="77777777" w:rsidR="004500E2" w:rsidRPr="00F444C9" w:rsidRDefault="004500E2" w:rsidP="004500E2">
      <w:pPr>
        <w:jc w:val="both"/>
        <w:rPr>
          <w:rFonts w:eastAsia="Calibri" w:cs="Times New Roman"/>
          <w:b/>
          <w:bCs/>
          <w:color w:val="auto"/>
          <w:sz w:val="22"/>
          <w:bdr w:val="none" w:sz="0" w:space="0" w:color="auto"/>
          <w:lang w:eastAsia="en-US"/>
        </w:rPr>
      </w:pPr>
      <w:r w:rsidRPr="00F444C9">
        <w:rPr>
          <w:rFonts w:eastAsia="Calibri" w:cs="Times New Roman"/>
          <w:color w:val="auto"/>
          <w:sz w:val="22"/>
          <w:bdr w:val="none" w:sz="0" w:space="0" w:color="auto"/>
          <w:lang w:eastAsia="en-US"/>
        </w:rPr>
        <w:t>Niebawem partnerzy poinformują o pierwszych lokalizacjach nowoczesnych stacji.</w:t>
      </w:r>
    </w:p>
    <w:p w14:paraId="5CA6A498"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eastAsia="Calibri" w:cs="Times New Roman"/>
          <w:color w:val="auto"/>
          <w:sz w:val="22"/>
          <w:bdr w:val="none" w:sz="0" w:space="0" w:color="auto"/>
          <w:lang w:eastAsia="en-US"/>
        </w:rPr>
      </w:pPr>
    </w:p>
    <w:p w14:paraId="0005441F"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eastAsia="Calibri" w:cs="Times New Roman"/>
          <w:color w:val="auto"/>
          <w:sz w:val="22"/>
          <w:bdr w:val="none" w:sz="0" w:space="0" w:color="auto"/>
          <w:lang w:eastAsia="en-US"/>
        </w:rPr>
      </w:pPr>
    </w:p>
    <w:p w14:paraId="65131820" w14:textId="77777777" w:rsidR="004500E2" w:rsidRPr="00F444C9" w:rsidRDefault="004500E2" w:rsidP="004500E2">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eastAsia="Calibri" w:cs="Times New Roman"/>
          <w:color w:val="auto"/>
          <w:sz w:val="22"/>
          <w:bdr w:val="none" w:sz="0" w:space="0" w:color="auto"/>
          <w:lang w:eastAsia="en-US"/>
        </w:rPr>
      </w:pPr>
      <w:r w:rsidRPr="00F444C9">
        <w:rPr>
          <w:rFonts w:eastAsia="Calibri" w:cs="Times New Roman"/>
          <w:color w:val="auto"/>
          <w:sz w:val="22"/>
          <w:bdr w:val="none" w:sz="0" w:space="0" w:color="auto"/>
          <w:lang w:eastAsia="en-US"/>
        </w:rPr>
        <w:t xml:space="preserve">EDRI Poland to operator ogólnodostępnej infrastruktury ładowania pojazdów elektrycznych, stanowiący część paneuropejskiego lidera </w:t>
      </w:r>
      <w:proofErr w:type="spellStart"/>
      <w:r w:rsidRPr="00F444C9">
        <w:rPr>
          <w:rFonts w:eastAsia="Calibri" w:cs="Times New Roman"/>
          <w:color w:val="auto"/>
          <w:sz w:val="22"/>
          <w:bdr w:val="none" w:sz="0" w:space="0" w:color="auto"/>
          <w:lang w:eastAsia="en-US"/>
        </w:rPr>
        <w:t>elektromobilności</w:t>
      </w:r>
      <w:proofErr w:type="spellEnd"/>
      <w:r w:rsidRPr="00F444C9">
        <w:rPr>
          <w:rFonts w:eastAsia="Calibri" w:cs="Times New Roman"/>
          <w:color w:val="auto"/>
          <w:sz w:val="22"/>
          <w:bdr w:val="none" w:sz="0" w:space="0" w:color="auto"/>
          <w:lang w:eastAsia="en-US"/>
        </w:rPr>
        <w:t xml:space="preserve"> E.ON Drive </w:t>
      </w:r>
      <w:proofErr w:type="spellStart"/>
      <w:r w:rsidRPr="00F444C9">
        <w:rPr>
          <w:rFonts w:eastAsia="Calibri" w:cs="Times New Roman"/>
          <w:color w:val="auto"/>
          <w:sz w:val="22"/>
          <w:bdr w:val="none" w:sz="0" w:space="0" w:color="auto"/>
          <w:lang w:eastAsia="en-US"/>
        </w:rPr>
        <w:t>Infrastructure</w:t>
      </w:r>
      <w:proofErr w:type="spellEnd"/>
      <w:r w:rsidRPr="00F444C9">
        <w:rPr>
          <w:rFonts w:eastAsia="Calibri" w:cs="Times New Roman"/>
          <w:color w:val="auto"/>
          <w:sz w:val="22"/>
          <w:bdr w:val="none" w:sz="0" w:space="0" w:color="auto"/>
          <w:lang w:eastAsia="en-US"/>
        </w:rPr>
        <w:t xml:space="preserve"> (EDRI).</w:t>
      </w:r>
      <w:r w:rsidRPr="00F444C9">
        <w:rPr>
          <w:color w:val="auto"/>
        </w:rPr>
        <w:t xml:space="preserve"> </w:t>
      </w:r>
      <w:r w:rsidRPr="00F444C9">
        <w:rPr>
          <w:rFonts w:eastAsia="Calibri" w:cs="Times New Roman"/>
          <w:color w:val="auto"/>
          <w:sz w:val="22"/>
          <w:bdr w:val="none" w:sz="0" w:space="0" w:color="auto"/>
          <w:lang w:eastAsia="en-US"/>
        </w:rPr>
        <w:t>Więcej informacji: https://www.edri.com/pl-pl.</w:t>
      </w:r>
    </w:p>
    <w:p w14:paraId="28916CAD" w14:textId="77777777" w:rsidR="004500E2" w:rsidRPr="00F444C9" w:rsidRDefault="004500E2" w:rsidP="004500E2">
      <w:pPr>
        <w:jc w:val="both"/>
        <w:rPr>
          <w:color w:val="auto"/>
          <w:sz w:val="21"/>
          <w:szCs w:val="21"/>
        </w:rPr>
      </w:pPr>
      <w:r w:rsidRPr="00F444C9">
        <w:rPr>
          <w:rStyle w:val="Pogrubienie"/>
          <w:color w:val="auto"/>
          <w:sz w:val="21"/>
          <w:szCs w:val="21"/>
          <w:shd w:val="clear" w:color="auto" w:fill="FFFFFF"/>
        </w:rPr>
        <w:t>O Agata S.A.</w:t>
      </w:r>
      <w:r w:rsidRPr="00F444C9">
        <w:rPr>
          <w:color w:val="auto"/>
          <w:sz w:val="21"/>
          <w:szCs w:val="21"/>
          <w:shd w:val="clear" w:color="auto" w:fill="FFFFFF"/>
        </w:rPr>
        <w:t>:</w:t>
      </w:r>
    </w:p>
    <w:p w14:paraId="6E030382" w14:textId="77777777" w:rsidR="004500E2" w:rsidRPr="00F444C9" w:rsidRDefault="004500E2" w:rsidP="004500E2">
      <w:pPr>
        <w:jc w:val="both"/>
        <w:rPr>
          <w:color w:val="auto"/>
          <w:sz w:val="18"/>
          <w:szCs w:val="18"/>
        </w:rPr>
      </w:pPr>
      <w:r w:rsidRPr="00F444C9">
        <w:rPr>
          <w:color w:val="auto"/>
          <w:sz w:val="18"/>
          <w:szCs w:val="18"/>
          <w:shd w:val="clear" w:color="auto" w:fill="FFFFFF"/>
        </w:rPr>
        <w:t>Agata S.A. to ogólnopolska sieć sklepów z meblami oraz artykułami wyposażenia wnętrz; obejmująca 38 wielkopowierzchniowych salonów zlokalizowanych zarówno w dużych, jak i średnich miastach w całym kraju oraz 6 sklepów małego formatu w galeriach i parkach handlowych. Agata S.A. poprzez punkty sprzedaży detalicznej i e-commerce oferuje kolekcje mebli do pokoju dziennego, dziecięcego, sypialni, jadalni i kuchni, a także szeroką gamę dekoracji i akcesoriów do aranżacji wnętrz. Marka zapewnia dostęp do artykułów ponad 250 krajowych i zagranicznych producentów, kilkudziesięciu marek własnych oraz szerokiego grona doradców, projektantów i ekspertów. Więcej o Agata S.A: </w:t>
      </w:r>
      <w:hyperlink r:id="rId7" w:history="1">
        <w:r w:rsidRPr="00F444C9">
          <w:rPr>
            <w:rStyle w:val="Hipercze"/>
            <w:color w:val="auto"/>
            <w:sz w:val="18"/>
            <w:szCs w:val="18"/>
            <w:bdr w:val="none" w:sz="0" w:space="0" w:color="auto" w:frame="1"/>
            <w:shd w:val="clear" w:color="auto" w:fill="FFFFFF"/>
          </w:rPr>
          <w:t>www.agatameble.pl</w:t>
        </w:r>
      </w:hyperlink>
      <w:r w:rsidRPr="00F444C9">
        <w:rPr>
          <w:color w:val="auto"/>
          <w:sz w:val="18"/>
          <w:szCs w:val="18"/>
          <w:shd w:val="clear" w:color="auto" w:fill="FFFFFF"/>
        </w:rPr>
        <w:t>.</w:t>
      </w:r>
    </w:p>
    <w:p w14:paraId="5EB4CA75" w14:textId="77777777" w:rsidR="00BB42FA" w:rsidRPr="00F439CC" w:rsidRDefault="00BB42FA" w:rsidP="00F439CC">
      <w:pPr>
        <w:jc w:val="both"/>
        <w:rPr>
          <w:sz w:val="18"/>
          <w:szCs w:val="18"/>
        </w:rPr>
      </w:pPr>
    </w:p>
    <w:sectPr w:rsidR="00BB42FA" w:rsidRPr="00F439CC">
      <w:headerReference w:type="default" r:id="rId8"/>
      <w:footerReference w:type="default" r:id="rId9"/>
      <w:pgSz w:w="11900" w:h="16840"/>
      <w:pgMar w:top="1417" w:right="1417" w:bottom="1417" w:left="141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C5AD3" w14:textId="77777777" w:rsidR="002E6C42" w:rsidRDefault="002E6C42">
      <w:pPr>
        <w:spacing w:after="0" w:line="240" w:lineRule="auto"/>
      </w:pPr>
      <w:r>
        <w:separator/>
      </w:r>
    </w:p>
  </w:endnote>
  <w:endnote w:type="continuationSeparator" w:id="0">
    <w:p w14:paraId="70746B72" w14:textId="77777777" w:rsidR="002E6C42" w:rsidRDefault="002E6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 w:name="Helvetica Neue">
    <w:altName w:val="Corbel"/>
    <w:charset w:val="00"/>
    <w:family w:val="auto"/>
    <w:pitch w:val="variable"/>
    <w:sig w:usb0="00000003"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83EE" w14:textId="77777777" w:rsidR="00607FCA" w:rsidRDefault="00607FCA">
    <w:pPr>
      <w:pStyle w:val="Nagweki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36512" w14:textId="77777777" w:rsidR="002E6C42" w:rsidRDefault="002E6C42">
      <w:pPr>
        <w:spacing w:after="0" w:line="240" w:lineRule="auto"/>
      </w:pPr>
      <w:r>
        <w:separator/>
      </w:r>
    </w:p>
  </w:footnote>
  <w:footnote w:type="continuationSeparator" w:id="0">
    <w:p w14:paraId="76468A4D" w14:textId="77777777" w:rsidR="002E6C42" w:rsidRDefault="002E6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02E2" w14:textId="77777777" w:rsidR="00607FCA" w:rsidRDefault="00B7632C">
    <w:pPr>
      <w:pStyle w:val="Nagwek"/>
      <w:tabs>
        <w:tab w:val="clear" w:pos="9072"/>
        <w:tab w:val="right" w:pos="9046"/>
      </w:tabs>
    </w:pPr>
    <w:r>
      <w:rPr>
        <w:noProof/>
      </w:rPr>
      <w:drawing>
        <wp:anchor distT="152400" distB="152400" distL="152400" distR="152400" simplePos="0" relativeHeight="251658240" behindDoc="1" locked="0" layoutInCell="1" allowOverlap="1" wp14:anchorId="08E0052C" wp14:editId="153330D8">
          <wp:simplePos x="0" y="0"/>
          <wp:positionH relativeFrom="page">
            <wp:posOffset>81887</wp:posOffset>
          </wp:positionH>
          <wp:positionV relativeFrom="page">
            <wp:posOffset>218364</wp:posOffset>
          </wp:positionV>
          <wp:extent cx="7381831" cy="10433306"/>
          <wp:effectExtent l="0" t="0" r="0" b="0"/>
          <wp:wrapNone/>
          <wp:docPr id="1073741825" name="officeArt object" descr="AGATA_papier firmowy_2015.png"/>
          <wp:cNvGraphicFramePr/>
          <a:graphic xmlns:a="http://schemas.openxmlformats.org/drawingml/2006/main">
            <a:graphicData uri="http://schemas.openxmlformats.org/drawingml/2006/picture">
              <pic:pic xmlns:pic="http://schemas.openxmlformats.org/drawingml/2006/picture">
                <pic:nvPicPr>
                  <pic:cNvPr id="1073741825" name="AGATA_papier firmowy_2015.png" descr="AGATA_papier firmowy_2015.png"/>
                  <pic:cNvPicPr>
                    <a:picLocks noChangeAspect="1"/>
                  </pic:cNvPicPr>
                </pic:nvPicPr>
                <pic:blipFill>
                  <a:blip r:embed="rId1"/>
                  <a:stretch>
                    <a:fillRect/>
                  </a:stretch>
                </pic:blipFill>
                <pic:spPr>
                  <a:xfrm>
                    <a:off x="0" y="0"/>
                    <a:ext cx="7381831" cy="10433306"/>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FCA"/>
    <w:rsid w:val="0000114D"/>
    <w:rsid w:val="000113B5"/>
    <w:rsid w:val="00015335"/>
    <w:rsid w:val="00034215"/>
    <w:rsid w:val="00036013"/>
    <w:rsid w:val="00042916"/>
    <w:rsid w:val="00043605"/>
    <w:rsid w:val="000466AD"/>
    <w:rsid w:val="00052705"/>
    <w:rsid w:val="00053893"/>
    <w:rsid w:val="00054DD3"/>
    <w:rsid w:val="00065838"/>
    <w:rsid w:val="000837BB"/>
    <w:rsid w:val="00090927"/>
    <w:rsid w:val="000B5D56"/>
    <w:rsid w:val="000C128A"/>
    <w:rsid w:val="000D6DA9"/>
    <w:rsid w:val="000E262E"/>
    <w:rsid w:val="000F4785"/>
    <w:rsid w:val="00102405"/>
    <w:rsid w:val="00114F52"/>
    <w:rsid w:val="00117CE7"/>
    <w:rsid w:val="00117D3F"/>
    <w:rsid w:val="00121B21"/>
    <w:rsid w:val="001240A5"/>
    <w:rsid w:val="00136A24"/>
    <w:rsid w:val="001473A4"/>
    <w:rsid w:val="00147F76"/>
    <w:rsid w:val="00157133"/>
    <w:rsid w:val="00161DD1"/>
    <w:rsid w:val="001640E8"/>
    <w:rsid w:val="0016493B"/>
    <w:rsid w:val="00192BD3"/>
    <w:rsid w:val="00193596"/>
    <w:rsid w:val="00193E0B"/>
    <w:rsid w:val="00197067"/>
    <w:rsid w:val="001A76FD"/>
    <w:rsid w:val="001B000A"/>
    <w:rsid w:val="001B5286"/>
    <w:rsid w:val="001B5FBB"/>
    <w:rsid w:val="001B6C81"/>
    <w:rsid w:val="001D630F"/>
    <w:rsid w:val="001E5EBD"/>
    <w:rsid w:val="001E7717"/>
    <w:rsid w:val="001E7A5D"/>
    <w:rsid w:val="001F7725"/>
    <w:rsid w:val="00202D92"/>
    <w:rsid w:val="00204780"/>
    <w:rsid w:val="00205960"/>
    <w:rsid w:val="00215880"/>
    <w:rsid w:val="00217FB9"/>
    <w:rsid w:val="002202EC"/>
    <w:rsid w:val="00226FD3"/>
    <w:rsid w:val="00235558"/>
    <w:rsid w:val="0024391E"/>
    <w:rsid w:val="00253A47"/>
    <w:rsid w:val="00272590"/>
    <w:rsid w:val="0027479D"/>
    <w:rsid w:val="00280B66"/>
    <w:rsid w:val="00280ED9"/>
    <w:rsid w:val="00283890"/>
    <w:rsid w:val="00287C6B"/>
    <w:rsid w:val="00296D50"/>
    <w:rsid w:val="002A5ECE"/>
    <w:rsid w:val="002A6C7E"/>
    <w:rsid w:val="002B53CD"/>
    <w:rsid w:val="002B7C65"/>
    <w:rsid w:val="002C7394"/>
    <w:rsid w:val="002E67C5"/>
    <w:rsid w:val="002E6C42"/>
    <w:rsid w:val="002F2436"/>
    <w:rsid w:val="003001E2"/>
    <w:rsid w:val="00300D1A"/>
    <w:rsid w:val="00301076"/>
    <w:rsid w:val="003045B8"/>
    <w:rsid w:val="003117E3"/>
    <w:rsid w:val="003131A4"/>
    <w:rsid w:val="003168A4"/>
    <w:rsid w:val="00316C74"/>
    <w:rsid w:val="00323FA2"/>
    <w:rsid w:val="00341315"/>
    <w:rsid w:val="003424C6"/>
    <w:rsid w:val="00347C88"/>
    <w:rsid w:val="00351C70"/>
    <w:rsid w:val="00361CD3"/>
    <w:rsid w:val="0037031D"/>
    <w:rsid w:val="003842B9"/>
    <w:rsid w:val="00392994"/>
    <w:rsid w:val="00395C20"/>
    <w:rsid w:val="003A0489"/>
    <w:rsid w:val="003B0F01"/>
    <w:rsid w:val="003C2FC7"/>
    <w:rsid w:val="003C386F"/>
    <w:rsid w:val="003D03D0"/>
    <w:rsid w:val="003D4B6A"/>
    <w:rsid w:val="003D5439"/>
    <w:rsid w:val="003E1466"/>
    <w:rsid w:val="003E671A"/>
    <w:rsid w:val="003E73B6"/>
    <w:rsid w:val="003E7C1D"/>
    <w:rsid w:val="00413AC5"/>
    <w:rsid w:val="00416A75"/>
    <w:rsid w:val="00420651"/>
    <w:rsid w:val="004210C7"/>
    <w:rsid w:val="00423C1D"/>
    <w:rsid w:val="004253D9"/>
    <w:rsid w:val="004301FB"/>
    <w:rsid w:val="004404F9"/>
    <w:rsid w:val="0044394D"/>
    <w:rsid w:val="004500E2"/>
    <w:rsid w:val="00456AA6"/>
    <w:rsid w:val="00456E2D"/>
    <w:rsid w:val="004769B9"/>
    <w:rsid w:val="00480615"/>
    <w:rsid w:val="0048369B"/>
    <w:rsid w:val="00486A97"/>
    <w:rsid w:val="004961AE"/>
    <w:rsid w:val="004A0CFC"/>
    <w:rsid w:val="004A0F77"/>
    <w:rsid w:val="004A237D"/>
    <w:rsid w:val="004A3C7B"/>
    <w:rsid w:val="004B102B"/>
    <w:rsid w:val="004B4A80"/>
    <w:rsid w:val="004C3588"/>
    <w:rsid w:val="004F6E0B"/>
    <w:rsid w:val="005019C9"/>
    <w:rsid w:val="005019FB"/>
    <w:rsid w:val="005047CB"/>
    <w:rsid w:val="00522799"/>
    <w:rsid w:val="005253CC"/>
    <w:rsid w:val="00554534"/>
    <w:rsid w:val="00577E99"/>
    <w:rsid w:val="0058114A"/>
    <w:rsid w:val="005822E0"/>
    <w:rsid w:val="0058407E"/>
    <w:rsid w:val="00586F63"/>
    <w:rsid w:val="0059528F"/>
    <w:rsid w:val="00597A92"/>
    <w:rsid w:val="005C14D9"/>
    <w:rsid w:val="005C2476"/>
    <w:rsid w:val="005C4E49"/>
    <w:rsid w:val="005C7417"/>
    <w:rsid w:val="005C7AE4"/>
    <w:rsid w:val="005D0996"/>
    <w:rsid w:val="005D7DB2"/>
    <w:rsid w:val="005F5ABD"/>
    <w:rsid w:val="005F730F"/>
    <w:rsid w:val="00607FCA"/>
    <w:rsid w:val="00612A2D"/>
    <w:rsid w:val="00621F5C"/>
    <w:rsid w:val="00652254"/>
    <w:rsid w:val="006529C1"/>
    <w:rsid w:val="00656BDB"/>
    <w:rsid w:val="00663F13"/>
    <w:rsid w:val="00670368"/>
    <w:rsid w:val="00675237"/>
    <w:rsid w:val="0069546D"/>
    <w:rsid w:val="006A15B6"/>
    <w:rsid w:val="006A5122"/>
    <w:rsid w:val="006A7921"/>
    <w:rsid w:val="006B5E99"/>
    <w:rsid w:val="006C1CBC"/>
    <w:rsid w:val="006C6C67"/>
    <w:rsid w:val="006D2500"/>
    <w:rsid w:val="006E4C13"/>
    <w:rsid w:val="006F353A"/>
    <w:rsid w:val="007046AB"/>
    <w:rsid w:val="0071373F"/>
    <w:rsid w:val="0072527A"/>
    <w:rsid w:val="00733F92"/>
    <w:rsid w:val="0075464B"/>
    <w:rsid w:val="007616CF"/>
    <w:rsid w:val="007D0CE9"/>
    <w:rsid w:val="007F4970"/>
    <w:rsid w:val="008029FF"/>
    <w:rsid w:val="00803E4A"/>
    <w:rsid w:val="00806399"/>
    <w:rsid w:val="00806A74"/>
    <w:rsid w:val="00812DAD"/>
    <w:rsid w:val="00817801"/>
    <w:rsid w:val="008209AA"/>
    <w:rsid w:val="00830FEA"/>
    <w:rsid w:val="008330A6"/>
    <w:rsid w:val="008357BC"/>
    <w:rsid w:val="00840B3B"/>
    <w:rsid w:val="00841662"/>
    <w:rsid w:val="00844CA6"/>
    <w:rsid w:val="00850B33"/>
    <w:rsid w:val="00860E50"/>
    <w:rsid w:val="00867A46"/>
    <w:rsid w:val="00870828"/>
    <w:rsid w:val="00876561"/>
    <w:rsid w:val="00882414"/>
    <w:rsid w:val="0088516F"/>
    <w:rsid w:val="008854A6"/>
    <w:rsid w:val="00891CCA"/>
    <w:rsid w:val="008945D1"/>
    <w:rsid w:val="008A145C"/>
    <w:rsid w:val="008A4625"/>
    <w:rsid w:val="008A49A8"/>
    <w:rsid w:val="008B15D0"/>
    <w:rsid w:val="008C176F"/>
    <w:rsid w:val="008C36B4"/>
    <w:rsid w:val="008F4584"/>
    <w:rsid w:val="00903E71"/>
    <w:rsid w:val="00904F85"/>
    <w:rsid w:val="009054FB"/>
    <w:rsid w:val="00915DFA"/>
    <w:rsid w:val="00922832"/>
    <w:rsid w:val="00925D7B"/>
    <w:rsid w:val="009539D5"/>
    <w:rsid w:val="00954383"/>
    <w:rsid w:val="00955B5A"/>
    <w:rsid w:val="009609B0"/>
    <w:rsid w:val="00964B1D"/>
    <w:rsid w:val="009925CD"/>
    <w:rsid w:val="00996102"/>
    <w:rsid w:val="0099789B"/>
    <w:rsid w:val="009A4BF5"/>
    <w:rsid w:val="009A6520"/>
    <w:rsid w:val="009B3849"/>
    <w:rsid w:val="009F1D2C"/>
    <w:rsid w:val="009F5900"/>
    <w:rsid w:val="00A00755"/>
    <w:rsid w:val="00A02753"/>
    <w:rsid w:val="00A34C8F"/>
    <w:rsid w:val="00A3621B"/>
    <w:rsid w:val="00A3772E"/>
    <w:rsid w:val="00A433C1"/>
    <w:rsid w:val="00A57A44"/>
    <w:rsid w:val="00A83DAB"/>
    <w:rsid w:val="00A83FC1"/>
    <w:rsid w:val="00A91125"/>
    <w:rsid w:val="00A94D88"/>
    <w:rsid w:val="00AA1A77"/>
    <w:rsid w:val="00AA4419"/>
    <w:rsid w:val="00AB435E"/>
    <w:rsid w:val="00AC3B00"/>
    <w:rsid w:val="00AC4FA5"/>
    <w:rsid w:val="00AD5E35"/>
    <w:rsid w:val="00AD5FF9"/>
    <w:rsid w:val="00AE10BD"/>
    <w:rsid w:val="00AE37BF"/>
    <w:rsid w:val="00AE7383"/>
    <w:rsid w:val="00B016AC"/>
    <w:rsid w:val="00B05C0D"/>
    <w:rsid w:val="00B12C4D"/>
    <w:rsid w:val="00B14F2F"/>
    <w:rsid w:val="00B21500"/>
    <w:rsid w:val="00B21CE9"/>
    <w:rsid w:val="00B23B12"/>
    <w:rsid w:val="00B26F20"/>
    <w:rsid w:val="00B3164D"/>
    <w:rsid w:val="00B424ED"/>
    <w:rsid w:val="00B436B1"/>
    <w:rsid w:val="00B519C6"/>
    <w:rsid w:val="00B716DC"/>
    <w:rsid w:val="00B7632C"/>
    <w:rsid w:val="00B9195B"/>
    <w:rsid w:val="00BA0AC5"/>
    <w:rsid w:val="00BA0DBF"/>
    <w:rsid w:val="00BA6783"/>
    <w:rsid w:val="00BB42FA"/>
    <w:rsid w:val="00BC02D8"/>
    <w:rsid w:val="00BC27DD"/>
    <w:rsid w:val="00BE1DAD"/>
    <w:rsid w:val="00BE2458"/>
    <w:rsid w:val="00BE6187"/>
    <w:rsid w:val="00BE72AC"/>
    <w:rsid w:val="00BE7603"/>
    <w:rsid w:val="00BF145A"/>
    <w:rsid w:val="00C048F4"/>
    <w:rsid w:val="00C13F58"/>
    <w:rsid w:val="00C17A0E"/>
    <w:rsid w:val="00C27435"/>
    <w:rsid w:val="00C33A68"/>
    <w:rsid w:val="00C50979"/>
    <w:rsid w:val="00C54C5B"/>
    <w:rsid w:val="00C56D9D"/>
    <w:rsid w:val="00C63D36"/>
    <w:rsid w:val="00C65E96"/>
    <w:rsid w:val="00C74B7D"/>
    <w:rsid w:val="00C77F86"/>
    <w:rsid w:val="00C94E1E"/>
    <w:rsid w:val="00CB2AC1"/>
    <w:rsid w:val="00CB6818"/>
    <w:rsid w:val="00CC0CF9"/>
    <w:rsid w:val="00CC2061"/>
    <w:rsid w:val="00CC2081"/>
    <w:rsid w:val="00CC4930"/>
    <w:rsid w:val="00CD1F0C"/>
    <w:rsid w:val="00CF1F05"/>
    <w:rsid w:val="00CF21F0"/>
    <w:rsid w:val="00D075A1"/>
    <w:rsid w:val="00D20ADA"/>
    <w:rsid w:val="00D2352D"/>
    <w:rsid w:val="00D31EB1"/>
    <w:rsid w:val="00D44E4A"/>
    <w:rsid w:val="00D570CA"/>
    <w:rsid w:val="00D60DB9"/>
    <w:rsid w:val="00D61A8F"/>
    <w:rsid w:val="00D620A1"/>
    <w:rsid w:val="00D66D71"/>
    <w:rsid w:val="00D75922"/>
    <w:rsid w:val="00D97290"/>
    <w:rsid w:val="00D97376"/>
    <w:rsid w:val="00D97CFD"/>
    <w:rsid w:val="00DA26AD"/>
    <w:rsid w:val="00DB7A38"/>
    <w:rsid w:val="00DC2914"/>
    <w:rsid w:val="00DD3747"/>
    <w:rsid w:val="00DE442A"/>
    <w:rsid w:val="00DF3807"/>
    <w:rsid w:val="00E03331"/>
    <w:rsid w:val="00E03AEE"/>
    <w:rsid w:val="00E130DB"/>
    <w:rsid w:val="00E1713D"/>
    <w:rsid w:val="00E43091"/>
    <w:rsid w:val="00E43399"/>
    <w:rsid w:val="00E462D3"/>
    <w:rsid w:val="00E718D9"/>
    <w:rsid w:val="00E71DFB"/>
    <w:rsid w:val="00E729BD"/>
    <w:rsid w:val="00E80793"/>
    <w:rsid w:val="00E816E3"/>
    <w:rsid w:val="00E82C55"/>
    <w:rsid w:val="00E91A20"/>
    <w:rsid w:val="00E968E3"/>
    <w:rsid w:val="00E9699D"/>
    <w:rsid w:val="00EB2FAC"/>
    <w:rsid w:val="00EB4A83"/>
    <w:rsid w:val="00EB5CF7"/>
    <w:rsid w:val="00EC0ADD"/>
    <w:rsid w:val="00EC7553"/>
    <w:rsid w:val="00ED0627"/>
    <w:rsid w:val="00ED641A"/>
    <w:rsid w:val="00EE2CAE"/>
    <w:rsid w:val="00EF026A"/>
    <w:rsid w:val="00EF15B6"/>
    <w:rsid w:val="00EF4753"/>
    <w:rsid w:val="00EF59C1"/>
    <w:rsid w:val="00F01B59"/>
    <w:rsid w:val="00F17FA9"/>
    <w:rsid w:val="00F25294"/>
    <w:rsid w:val="00F269CE"/>
    <w:rsid w:val="00F27CB1"/>
    <w:rsid w:val="00F40707"/>
    <w:rsid w:val="00F439CC"/>
    <w:rsid w:val="00F4453B"/>
    <w:rsid w:val="00F53724"/>
    <w:rsid w:val="00F67B9C"/>
    <w:rsid w:val="00F77789"/>
    <w:rsid w:val="00F82120"/>
    <w:rsid w:val="00F82430"/>
    <w:rsid w:val="00F878F2"/>
    <w:rsid w:val="00F95718"/>
    <w:rsid w:val="00FA0BE7"/>
    <w:rsid w:val="00FA4F1D"/>
    <w:rsid w:val="00FA71E5"/>
    <w:rsid w:val="00FB0BBB"/>
    <w:rsid w:val="00FB1079"/>
    <w:rsid w:val="00FB39CA"/>
    <w:rsid w:val="00FB5582"/>
    <w:rsid w:val="00FD7075"/>
    <w:rsid w:val="00FE1A81"/>
    <w:rsid w:val="00FE7F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385C8"/>
  <w15:docId w15:val="{93E369F2-CE5B-7842-80DD-1A99898BD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3F58"/>
    <w:pPr>
      <w:spacing w:after="160" w:line="259" w:lineRule="auto"/>
    </w:pPr>
    <w:rPr>
      <w:rFonts w:ascii="Calibri" w:hAnsi="Calibri" w:cs="Arial Unicode MS"/>
      <w:color w:val="000000"/>
      <w:sz w:val="24"/>
      <w:szCs w:val="22"/>
      <w:u w:color="000000"/>
    </w:rPr>
  </w:style>
  <w:style w:type="paragraph" w:styleId="Nagwek1">
    <w:name w:val="heading 1"/>
    <w:basedOn w:val="Normalny"/>
    <w:next w:val="Normalny"/>
    <w:link w:val="Nagwek1Znak"/>
    <w:uiPriority w:val="9"/>
    <w:qFormat/>
    <w:rsid w:val="00090927"/>
    <w:pPr>
      <w:keepNext/>
      <w:keepLines/>
      <w:spacing w:before="240" w:after="0"/>
      <w:outlineLvl w:val="0"/>
    </w:pPr>
    <w:rPr>
      <w:rFonts w:eastAsiaTheme="majorEastAsia" w:cstheme="majorBidi"/>
      <w:color w:val="auto"/>
      <w:sz w:val="32"/>
      <w:szCs w:val="32"/>
    </w:rPr>
  </w:style>
  <w:style w:type="paragraph" w:styleId="Nagwek2">
    <w:name w:val="heading 2"/>
    <w:basedOn w:val="Normalny"/>
    <w:next w:val="Normalny"/>
    <w:link w:val="Nagwek2Znak"/>
    <w:uiPriority w:val="9"/>
    <w:unhideWhenUsed/>
    <w:qFormat/>
    <w:rsid w:val="002202EC"/>
    <w:pPr>
      <w:keepNext/>
      <w:keepLines/>
      <w:spacing w:before="40" w:after="0"/>
      <w:outlineLvl w:val="1"/>
    </w:pPr>
    <w:rPr>
      <w:rFonts w:asciiTheme="majorHAnsi" w:eastAsiaTheme="majorEastAsia" w:hAnsiTheme="majorHAnsi" w:cstheme="majorBidi"/>
      <w:b/>
      <w:color w:val="auto"/>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pacing w:after="160" w:line="259" w:lineRule="auto"/>
    </w:pPr>
    <w:rPr>
      <w:rFonts w:ascii="Calibri" w:hAnsi="Calibri" w:cs="Arial Unicode MS"/>
      <w:color w:val="000000"/>
      <w:sz w:val="22"/>
      <w:szCs w:val="22"/>
      <w:u w:color="000000"/>
    </w:r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kstdymka">
    <w:name w:val="Balloon Text"/>
    <w:basedOn w:val="Normalny"/>
    <w:link w:val="TekstdymkaZnak"/>
    <w:uiPriority w:val="99"/>
    <w:semiHidden/>
    <w:unhideWhenUsed/>
    <w:rsid w:val="004B10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B102B"/>
    <w:rPr>
      <w:rFonts w:ascii="Segoe UI" w:hAnsi="Segoe UI" w:cs="Segoe UI"/>
      <w:color w:val="000000"/>
      <w:sz w:val="18"/>
      <w:szCs w:val="18"/>
      <w:u w:color="000000"/>
    </w:rPr>
  </w:style>
  <w:style w:type="paragraph" w:styleId="Tytu">
    <w:name w:val="Title"/>
    <w:basedOn w:val="Normalny"/>
    <w:next w:val="Normalny"/>
    <w:link w:val="TytuZnak"/>
    <w:uiPriority w:val="10"/>
    <w:qFormat/>
    <w:rsid w:val="00090927"/>
    <w:pPr>
      <w:spacing w:after="0" w:line="240" w:lineRule="auto"/>
      <w:contextualSpacing/>
    </w:pPr>
    <w:rPr>
      <w:rFonts w:eastAsiaTheme="majorEastAsia" w:cstheme="majorBidi"/>
      <w:b/>
      <w:color w:val="auto"/>
      <w:spacing w:val="-10"/>
      <w:kern w:val="28"/>
      <w:sz w:val="36"/>
      <w:szCs w:val="56"/>
    </w:rPr>
  </w:style>
  <w:style w:type="character" w:customStyle="1" w:styleId="TytuZnak">
    <w:name w:val="Tytuł Znak"/>
    <w:basedOn w:val="Domylnaczcionkaakapitu"/>
    <w:link w:val="Tytu"/>
    <w:uiPriority w:val="10"/>
    <w:rsid w:val="00090927"/>
    <w:rPr>
      <w:rFonts w:ascii="Calibri" w:eastAsiaTheme="majorEastAsia" w:hAnsi="Calibri" w:cstheme="majorBidi"/>
      <w:b/>
      <w:spacing w:val="-10"/>
      <w:kern w:val="28"/>
      <w:sz w:val="36"/>
      <w:szCs w:val="56"/>
      <w:u w:color="000000"/>
    </w:rPr>
  </w:style>
  <w:style w:type="character" w:customStyle="1" w:styleId="Nagwek1Znak">
    <w:name w:val="Nagłówek 1 Znak"/>
    <w:basedOn w:val="Domylnaczcionkaakapitu"/>
    <w:link w:val="Nagwek1"/>
    <w:uiPriority w:val="9"/>
    <w:rsid w:val="00090927"/>
    <w:rPr>
      <w:rFonts w:ascii="Calibri" w:eastAsiaTheme="majorEastAsia" w:hAnsi="Calibri" w:cstheme="majorBidi"/>
      <w:sz w:val="32"/>
      <w:szCs w:val="32"/>
      <w:u w:color="000000"/>
    </w:rPr>
  </w:style>
  <w:style w:type="character" w:styleId="Odwoaniedokomentarza">
    <w:name w:val="annotation reference"/>
    <w:basedOn w:val="Domylnaczcionkaakapitu"/>
    <w:uiPriority w:val="99"/>
    <w:semiHidden/>
    <w:unhideWhenUsed/>
    <w:rsid w:val="0058114A"/>
    <w:rPr>
      <w:sz w:val="16"/>
      <w:szCs w:val="16"/>
    </w:rPr>
  </w:style>
  <w:style w:type="paragraph" w:styleId="Tekstkomentarza">
    <w:name w:val="annotation text"/>
    <w:basedOn w:val="Normalny"/>
    <w:link w:val="TekstkomentarzaZnak"/>
    <w:uiPriority w:val="99"/>
    <w:semiHidden/>
    <w:unhideWhenUsed/>
    <w:rsid w:val="0058114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8114A"/>
    <w:rPr>
      <w:rFonts w:ascii="Calibri" w:hAnsi="Calibri" w:cs="Arial Unicode MS"/>
      <w:color w:val="000000"/>
      <w:u w:color="000000"/>
    </w:rPr>
  </w:style>
  <w:style w:type="paragraph" w:styleId="Tematkomentarza">
    <w:name w:val="annotation subject"/>
    <w:basedOn w:val="Tekstkomentarza"/>
    <w:next w:val="Tekstkomentarza"/>
    <w:link w:val="TematkomentarzaZnak"/>
    <w:uiPriority w:val="99"/>
    <w:semiHidden/>
    <w:unhideWhenUsed/>
    <w:rsid w:val="0058114A"/>
    <w:rPr>
      <w:b/>
      <w:bCs/>
    </w:rPr>
  </w:style>
  <w:style w:type="character" w:customStyle="1" w:styleId="TematkomentarzaZnak">
    <w:name w:val="Temat komentarza Znak"/>
    <w:basedOn w:val="TekstkomentarzaZnak"/>
    <w:link w:val="Tematkomentarza"/>
    <w:uiPriority w:val="99"/>
    <w:semiHidden/>
    <w:rsid w:val="0058114A"/>
    <w:rPr>
      <w:rFonts w:ascii="Calibri" w:hAnsi="Calibri" w:cs="Arial Unicode MS"/>
      <w:b/>
      <w:bCs/>
      <w:color w:val="000000"/>
      <w:u w:color="000000"/>
    </w:rPr>
  </w:style>
  <w:style w:type="character" w:customStyle="1" w:styleId="Nagwek2Znak">
    <w:name w:val="Nagłówek 2 Znak"/>
    <w:basedOn w:val="Domylnaczcionkaakapitu"/>
    <w:link w:val="Nagwek2"/>
    <w:uiPriority w:val="9"/>
    <w:rsid w:val="002202EC"/>
    <w:rPr>
      <w:rFonts w:asciiTheme="majorHAnsi" w:eastAsiaTheme="majorEastAsia" w:hAnsiTheme="majorHAnsi" w:cstheme="majorBidi"/>
      <w:b/>
      <w:sz w:val="28"/>
      <w:szCs w:val="26"/>
      <w:u w:color="000000"/>
    </w:rPr>
  </w:style>
  <w:style w:type="paragraph" w:styleId="Tekstprzypisukocowego">
    <w:name w:val="endnote text"/>
    <w:basedOn w:val="Normalny"/>
    <w:link w:val="TekstprzypisukocowegoZnak"/>
    <w:uiPriority w:val="99"/>
    <w:semiHidden/>
    <w:unhideWhenUsed/>
    <w:rsid w:val="00E91A2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91A20"/>
    <w:rPr>
      <w:rFonts w:ascii="Calibri" w:hAnsi="Calibri" w:cs="Arial Unicode MS"/>
      <w:color w:val="000000"/>
      <w:u w:color="000000"/>
    </w:rPr>
  </w:style>
  <w:style w:type="character" w:styleId="Odwoanieprzypisukocowego">
    <w:name w:val="endnote reference"/>
    <w:basedOn w:val="Domylnaczcionkaakapitu"/>
    <w:uiPriority w:val="99"/>
    <w:semiHidden/>
    <w:unhideWhenUsed/>
    <w:rsid w:val="00E91A20"/>
    <w:rPr>
      <w:vertAlign w:val="superscript"/>
    </w:rPr>
  </w:style>
  <w:style w:type="character" w:styleId="Pogrubienie">
    <w:name w:val="Strong"/>
    <w:basedOn w:val="Domylnaczcionkaakapitu"/>
    <w:uiPriority w:val="22"/>
    <w:qFormat/>
    <w:rsid w:val="00DD37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38872">
      <w:bodyDiv w:val="1"/>
      <w:marLeft w:val="0"/>
      <w:marRight w:val="0"/>
      <w:marTop w:val="0"/>
      <w:marBottom w:val="0"/>
      <w:divBdr>
        <w:top w:val="none" w:sz="0" w:space="0" w:color="auto"/>
        <w:left w:val="none" w:sz="0" w:space="0" w:color="auto"/>
        <w:bottom w:val="none" w:sz="0" w:space="0" w:color="auto"/>
        <w:right w:val="none" w:sz="0" w:space="0" w:color="auto"/>
      </w:divBdr>
    </w:div>
    <w:div w:id="908227988">
      <w:bodyDiv w:val="1"/>
      <w:marLeft w:val="0"/>
      <w:marRight w:val="0"/>
      <w:marTop w:val="0"/>
      <w:marBottom w:val="0"/>
      <w:divBdr>
        <w:top w:val="none" w:sz="0" w:space="0" w:color="auto"/>
        <w:left w:val="none" w:sz="0" w:space="0" w:color="auto"/>
        <w:bottom w:val="none" w:sz="0" w:space="0" w:color="auto"/>
        <w:right w:val="none" w:sz="0" w:space="0" w:color="auto"/>
      </w:divBdr>
    </w:div>
    <w:div w:id="1052536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gatameble.p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D85DF-2F20-4D9D-8B85-69F0A7FAF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564</Words>
  <Characters>3388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aleksandra.potoczna@agatameble.pl</dc:creator>
  <cp:lastModifiedBy>Anna Wilczak-Kawecka</cp:lastModifiedBy>
  <cp:revision>238</cp:revision>
  <cp:lastPrinted>2025-11-13T11:05:00Z</cp:lastPrinted>
  <dcterms:created xsi:type="dcterms:W3CDTF">2025-11-13T10:41:00Z</dcterms:created>
  <dcterms:modified xsi:type="dcterms:W3CDTF">2026-07-28T11:39:00Z</dcterms:modified>
</cp:coreProperties>
</file>