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A79B8" w14:textId="77777777" w:rsidR="00DD6389" w:rsidRPr="00DD6389" w:rsidRDefault="00DD6389" w:rsidP="00DD6389">
      <w:pPr>
        <w:spacing w:after="160" w:line="278" w:lineRule="auto"/>
        <w:rPr>
          <w:rFonts w:ascii="Noto Sans" w:eastAsiaTheme="minorHAnsi" w:hAnsi="Noto Sans" w:cs="Noto Sans"/>
          <w:sz w:val="28"/>
          <w:szCs w:val="28"/>
        </w:rPr>
      </w:pPr>
      <w:r w:rsidRPr="00DD6389">
        <w:rPr>
          <w:rFonts w:ascii="Noto Sans" w:hAnsi="Noto Sans" w:cs="Noto Sans"/>
          <w:b/>
          <w:bCs/>
          <w:sz w:val="28"/>
          <w:szCs w:val="28"/>
          <w:lang w:val="es-ES"/>
        </w:rPr>
        <w:t>Más allá del cumplimiento normativo: descubre el valor de la trazabilidad en la edificación y la construcción</w:t>
      </w:r>
    </w:p>
    <w:p w14:paraId="795C5FBB" w14:textId="3DB09C84" w:rsidR="00DD6389" w:rsidRPr="00DD6389" w:rsidRDefault="00DD6389" w:rsidP="00DD6389">
      <w:pPr>
        <w:spacing w:after="160" w:line="278" w:lineRule="auto"/>
        <w:rPr>
          <w:rFonts w:ascii="Noto Sans" w:hAnsi="Noto Sans" w:cs="Noto Sans"/>
          <w:i/>
          <w:iCs/>
          <w:sz w:val="22"/>
        </w:rPr>
      </w:pPr>
      <w:r w:rsidRPr="00DD6389">
        <w:rPr>
          <w:rFonts w:ascii="Noto Sans" w:hAnsi="Noto Sans" w:cs="Noto Sans"/>
          <w:i/>
          <w:iCs/>
          <w:sz w:val="22"/>
          <w:lang w:val="es-ES"/>
        </w:rPr>
        <w:t xml:space="preserve">El sector de la construcción se encuentra en un punto de inflexión crítico. Las nuevas normativas diseñadas para mejorar la seguridad, la sostenibilidad y la responsabilidad en la edificación exigirán una trazabilidad de materiales significativamente mayor, desde el diseño hasta la deconstrucción. Aunque la normativa está impulsando este cambio, son los </w:t>
      </w:r>
      <w:hyperlink r:id="rId6" w:history="1">
        <w:r w:rsidRPr="00DD6389">
          <w:rPr>
            <w:rStyle w:val="Hyperlink"/>
            <w:rFonts w:ascii="Noto Sans" w:hAnsi="Noto Sans" w:cs="Noto Sans"/>
            <w:i/>
            <w:iCs/>
            <w:sz w:val="22"/>
            <w:lang w:val="es-ES"/>
          </w:rPr>
          <w:t>posibles beneficios adicionales</w:t>
        </w:r>
      </w:hyperlink>
      <w:r w:rsidRPr="00DD6389">
        <w:rPr>
          <w:rFonts w:ascii="Noto Sans" w:hAnsi="Noto Sans" w:cs="Noto Sans"/>
          <w:i/>
          <w:iCs/>
          <w:sz w:val="22"/>
          <w:lang w:val="es-ES"/>
        </w:rPr>
        <w:t xml:space="preserve"> para el sector lo que resulta realmente atractivo. </w:t>
      </w:r>
    </w:p>
    <w:p w14:paraId="67D18B9B" w14:textId="77777777" w:rsidR="00DD6389" w:rsidRPr="00DD6389" w:rsidRDefault="00DD6389" w:rsidP="00DD6389">
      <w:pPr>
        <w:spacing w:after="160" w:line="278" w:lineRule="auto"/>
        <w:rPr>
          <w:rFonts w:ascii="Noto Sans" w:hAnsi="Noto Sans" w:cs="Noto Sans"/>
          <w:i/>
          <w:iCs/>
          <w:sz w:val="22"/>
        </w:rPr>
      </w:pPr>
      <w:r w:rsidRPr="00DD6389">
        <w:rPr>
          <w:rFonts w:ascii="Noto Sans" w:hAnsi="Noto Sans" w:cs="Noto Sans"/>
          <w:i/>
          <w:iCs/>
          <w:sz w:val="22"/>
          <w:lang w:val="es-ES"/>
        </w:rPr>
        <w:t>Los pasaportes digitales de producto garantizarán que los productos y componentes de la edificación y la construcción sean identificables</w:t>
      </w:r>
      <w:r w:rsidRPr="00DD6389">
        <w:rPr>
          <w:rFonts w:ascii="Noto Sans" w:hAnsi="Noto Sans" w:cs="Noto Sans"/>
          <w:i/>
          <w:iCs/>
          <w:color w:val="323130"/>
          <w:sz w:val="22"/>
          <w:lang w:val="es-ES"/>
        </w:rPr>
        <w:t xml:space="preserve"> desde el diseño, la producción, la construcción y el mantenimiento, hasta la deconstrucción y el reciclaje. Este "</w:t>
      </w:r>
      <w:r w:rsidRPr="00DD6389">
        <w:rPr>
          <w:rFonts w:ascii="Noto Sans" w:hAnsi="Noto Sans" w:cs="Noto Sans"/>
          <w:i/>
          <w:iCs/>
          <w:sz w:val="22"/>
          <w:lang w:val="es-ES"/>
        </w:rPr>
        <w:t xml:space="preserve">hilo de oro" de información ofrece al sector mucho más que cumplimiento normativo: la trazabilidad de principio a fin proporciona la base para mejorar la eficiencia operativa, reducir significativamente los residuos, reforzar el control de costes y alcanzar un nuevo nivel de colaboración en la cadena de suministro. </w:t>
      </w:r>
    </w:p>
    <w:p w14:paraId="6CE5B11E" w14:textId="1EEF2394" w:rsidR="00DD6389" w:rsidRPr="00DD6389" w:rsidRDefault="00DD6389" w:rsidP="00DD6389">
      <w:pPr>
        <w:spacing w:after="160" w:line="278" w:lineRule="auto"/>
        <w:rPr>
          <w:rFonts w:ascii="Noto Sans" w:hAnsi="Noto Sans" w:cs="Noto Sans"/>
          <w:i/>
          <w:iCs/>
          <w:sz w:val="22"/>
        </w:rPr>
      </w:pPr>
      <w:r w:rsidRPr="00DD6389">
        <w:rPr>
          <w:rFonts w:ascii="Noto Sans" w:hAnsi="Noto Sans" w:cs="Noto Sans"/>
          <w:i/>
          <w:iCs/>
          <w:sz w:val="22"/>
          <w:lang w:val="es-ES"/>
        </w:rPr>
        <w:t xml:space="preserve">Como explica Rob Ellinor, Global </w:t>
      </w:r>
      <w:proofErr w:type="spellStart"/>
      <w:r w:rsidRPr="00DD6389">
        <w:rPr>
          <w:rFonts w:ascii="Noto Sans" w:hAnsi="Noto Sans" w:cs="Noto Sans"/>
          <w:i/>
          <w:iCs/>
          <w:sz w:val="22"/>
          <w:lang w:val="es-ES"/>
        </w:rPr>
        <w:t>Building</w:t>
      </w:r>
      <w:proofErr w:type="spellEnd"/>
      <w:r w:rsidRPr="00DD6389">
        <w:rPr>
          <w:rFonts w:ascii="Noto Sans" w:hAnsi="Noto Sans" w:cs="Noto Sans"/>
          <w:i/>
          <w:iCs/>
          <w:sz w:val="22"/>
          <w:lang w:val="es-ES"/>
        </w:rPr>
        <w:t xml:space="preserve"> &amp; </w:t>
      </w:r>
      <w:proofErr w:type="spellStart"/>
      <w:r w:rsidRPr="00DD6389">
        <w:rPr>
          <w:rFonts w:ascii="Noto Sans" w:hAnsi="Noto Sans" w:cs="Noto Sans"/>
          <w:i/>
          <w:iCs/>
          <w:sz w:val="22"/>
          <w:lang w:val="es-ES"/>
        </w:rPr>
        <w:t>Construction</w:t>
      </w:r>
      <w:proofErr w:type="spellEnd"/>
      <w:r w:rsidRPr="00DD6389">
        <w:rPr>
          <w:rFonts w:ascii="Noto Sans" w:hAnsi="Noto Sans" w:cs="Noto Sans"/>
          <w:i/>
          <w:iCs/>
          <w:sz w:val="22"/>
          <w:lang w:val="es-ES"/>
        </w:rPr>
        <w:t xml:space="preserve"> Sector Manager, </w:t>
      </w:r>
      <w:hyperlink r:id="rId7" w:history="1">
        <w:r w:rsidRPr="00DD6389">
          <w:rPr>
            <w:rStyle w:val="Hyperlink"/>
            <w:rFonts w:ascii="Noto Sans" w:hAnsi="Noto Sans" w:cs="Noto Sans"/>
            <w:i/>
            <w:iCs/>
            <w:sz w:val="22"/>
            <w:lang w:val="es-ES"/>
          </w:rPr>
          <w:t>Domino</w:t>
        </w:r>
      </w:hyperlink>
      <w:r w:rsidRPr="00DD6389">
        <w:rPr>
          <w:rFonts w:ascii="Noto Sans" w:hAnsi="Noto Sans" w:cs="Noto Sans"/>
          <w:i/>
          <w:iCs/>
          <w:sz w:val="22"/>
          <w:lang w:val="es-ES"/>
        </w:rPr>
        <w:t>.</w:t>
      </w:r>
    </w:p>
    <w:p w14:paraId="42C8B6BF" w14:textId="77777777" w:rsidR="00DD6389" w:rsidRPr="00DD6389" w:rsidRDefault="00DD6389" w:rsidP="00DD6389">
      <w:pPr>
        <w:spacing w:after="160" w:line="278" w:lineRule="auto"/>
        <w:rPr>
          <w:rFonts w:ascii="Noto Sans" w:hAnsi="Noto Sans" w:cs="Noto Sans"/>
          <w:b/>
          <w:bCs/>
          <w:sz w:val="22"/>
        </w:rPr>
      </w:pPr>
      <w:r w:rsidRPr="00DD6389">
        <w:rPr>
          <w:rFonts w:ascii="Noto Sans" w:hAnsi="Noto Sans" w:cs="Noto Sans"/>
          <w:b/>
          <w:bCs/>
          <w:sz w:val="22"/>
          <w:lang w:val="es-ES"/>
        </w:rPr>
        <w:t xml:space="preserve">Crecientes exigencias de cumplimiento normativo en la construcción </w:t>
      </w:r>
    </w:p>
    <w:p w14:paraId="29179820" w14:textId="77777777" w:rsidR="00DD6389" w:rsidRPr="00DD6389" w:rsidRDefault="00DD6389" w:rsidP="00DD6389">
      <w:pPr>
        <w:spacing w:after="160" w:line="278" w:lineRule="auto"/>
        <w:rPr>
          <w:rFonts w:ascii="Noto Sans" w:hAnsi="Noto Sans" w:cs="Noto Sans"/>
          <w:sz w:val="22"/>
        </w:rPr>
      </w:pPr>
      <w:r w:rsidRPr="00DD6389">
        <w:rPr>
          <w:rFonts w:ascii="Noto Sans" w:hAnsi="Noto Sans" w:cs="Noto Sans"/>
          <w:sz w:val="22"/>
          <w:lang w:val="es-ES"/>
        </w:rPr>
        <w:t xml:space="preserve">Las nuevas normativas de la UE, entre ellas el Reglamento de Productos de Construcción (RPC) y el Reglamento sobre diseño ecológico para productos sostenibles (ESPR), así como la Ley de Reforma del Sector de la Construcción del Reino Unido, impondrán nuevas exigencias a los fabricantes y proveedores de productos de construcción. Aunque las fechas actuales de cumplimiento aún están por confirmarse, la dirección está clara: los fabricantes tendrán que proporcionar información estructurada y digital sobre los productos a la que se pueda acceder y que se pueda compartir de forma coherente durante todo el ciclo de vida de un edificio. </w:t>
      </w:r>
    </w:p>
    <w:p w14:paraId="0933DC32" w14:textId="77777777" w:rsidR="00DD6389" w:rsidRPr="00DD6389" w:rsidRDefault="00DD6389" w:rsidP="00DD6389">
      <w:pPr>
        <w:spacing w:after="160" w:line="278" w:lineRule="auto"/>
        <w:rPr>
          <w:rFonts w:ascii="Noto Sans" w:hAnsi="Noto Sans" w:cs="Noto Sans"/>
          <w:sz w:val="22"/>
        </w:rPr>
      </w:pPr>
      <w:r w:rsidRPr="00DD6389">
        <w:rPr>
          <w:rFonts w:ascii="Noto Sans" w:hAnsi="Noto Sans" w:cs="Noto Sans"/>
          <w:sz w:val="22"/>
          <w:lang w:val="es-ES"/>
        </w:rPr>
        <w:t>En el Reino Unido ya se entiende la necesidad de mejorar la trazabilidad. El "hilo de oro" de los datos se utiliza para describir un registro digital de la información crucial sobre la seguridad y el diseño de un edificio. Aunque por ahora solo es un requisito legal para los edificios de mayor riesgo (HRB), cada vez más empresas de construcción son conscientes del valor de contar con una única fuente fiable de información en proyectos de todos los tamaños.</w:t>
      </w:r>
    </w:p>
    <w:p w14:paraId="2593121A" w14:textId="77777777" w:rsidR="00DD6389" w:rsidRPr="00DD6389" w:rsidRDefault="00DD6389" w:rsidP="00DD6389">
      <w:pPr>
        <w:spacing w:after="160" w:line="278" w:lineRule="auto"/>
        <w:rPr>
          <w:rFonts w:ascii="Noto Sans" w:hAnsi="Noto Sans" w:cs="Noto Sans"/>
          <w:sz w:val="22"/>
        </w:rPr>
      </w:pPr>
      <w:r w:rsidRPr="00DD6389">
        <w:rPr>
          <w:rFonts w:ascii="Noto Sans" w:hAnsi="Noto Sans" w:cs="Noto Sans"/>
          <w:sz w:val="22"/>
          <w:lang w:val="es-ES"/>
        </w:rPr>
        <w:t xml:space="preserve">Hasta la fecha, la limitación para lograr este "hilo de oro" ha sido la falta de estandarización y de un único marco operativo acordado. El resultado ha sido unas operaciones aisladas que han limitado una colaboración eficaz en la cadena de suministro </w:t>
      </w:r>
      <w:r w:rsidRPr="00DD6389">
        <w:rPr>
          <w:rFonts w:ascii="Noto Sans" w:hAnsi="Noto Sans" w:cs="Noto Sans"/>
          <w:sz w:val="22"/>
          <w:lang w:val="es-ES"/>
        </w:rPr>
        <w:lastRenderedPageBreak/>
        <w:t>de principio a fin, necesaria para mejorar la eficacia operativa y maximizar el valor de los datos detallados de los productos. Sin embargo, el paso hacia un entorno más regulado acelerará el cambio y fomentará la adopción generalizada de las normas necesarias para lograr un proceso de construcción más coherente y transparente.</w:t>
      </w:r>
    </w:p>
    <w:p w14:paraId="162A422B" w14:textId="77777777" w:rsidR="00DD6389" w:rsidRPr="00DD6389" w:rsidRDefault="00DD6389" w:rsidP="00DD6389">
      <w:pPr>
        <w:spacing w:after="160" w:line="278" w:lineRule="auto"/>
        <w:rPr>
          <w:rFonts w:ascii="Noto Sans" w:hAnsi="Noto Sans" w:cs="Noto Sans"/>
          <w:b/>
          <w:bCs/>
          <w:sz w:val="22"/>
        </w:rPr>
      </w:pPr>
      <w:r w:rsidRPr="00DD6389">
        <w:rPr>
          <w:rFonts w:ascii="Noto Sans" w:hAnsi="Noto Sans" w:cs="Noto Sans"/>
          <w:b/>
          <w:bCs/>
          <w:sz w:val="22"/>
          <w:lang w:val="es-ES"/>
        </w:rPr>
        <w:t>Las normas de datos respaldan el cumplimiento en la construcción</w:t>
      </w:r>
    </w:p>
    <w:p w14:paraId="6E39337A" w14:textId="77777777" w:rsidR="00DD6389" w:rsidRPr="00DD6389" w:rsidRDefault="00DD6389" w:rsidP="00DD6389">
      <w:pPr>
        <w:spacing w:after="160" w:line="278" w:lineRule="auto"/>
        <w:rPr>
          <w:rFonts w:ascii="Noto Sans" w:hAnsi="Noto Sans" w:cs="Noto Sans"/>
          <w:sz w:val="22"/>
        </w:rPr>
      </w:pPr>
      <w:r w:rsidRPr="00DD6389">
        <w:rPr>
          <w:rFonts w:ascii="Noto Sans" w:hAnsi="Noto Sans" w:cs="Noto Sans"/>
          <w:sz w:val="22"/>
          <w:lang w:val="es-ES"/>
        </w:rPr>
        <w:t>Como se ha visto en otros sectores, especialmente el farmacéutico, la estandarización y la adopción de un lenguaje accesible y reconocido a nivel mundial, como el que proporcionan los códigos 2D impulsados por GS1, son la base para compartir datos de forma eficaz y para la trazabilidad. Permite transferir información coherente, fiable y útil del principio al fin de la cadena de suministro sin fricciones, lo que permite a las organizaciones en cada etapa aprovechar la información en tiempo real para mejorar la eficiencia y el control.</w:t>
      </w:r>
    </w:p>
    <w:p w14:paraId="2378B094" w14:textId="77777777" w:rsidR="00DD6389" w:rsidRPr="00DD6389" w:rsidRDefault="00DD6389" w:rsidP="00DD6389">
      <w:pPr>
        <w:spacing w:after="160" w:line="278" w:lineRule="auto"/>
        <w:rPr>
          <w:rFonts w:ascii="Noto Sans" w:hAnsi="Noto Sans" w:cs="Noto Sans"/>
          <w:sz w:val="22"/>
        </w:rPr>
      </w:pPr>
      <w:r w:rsidRPr="00DD6389">
        <w:rPr>
          <w:rFonts w:ascii="Noto Sans" w:hAnsi="Noto Sans" w:cs="Noto Sans"/>
          <w:sz w:val="22"/>
          <w:lang w:val="es-ES"/>
        </w:rPr>
        <w:t>La cantidad de información que se puede incluir en un pasaporte digital de producto es impresionante. Aunque las exigencias varían según el tipo de producto, en esencia la normativa exigirá proporcionar un identificador de producto único a nivel mundial; un portador de datos digital (p. ej., QR, NFC, RFID); información sobre el rendimiento y la seguridad del producto; documentación de cumplimiento y certificación; datos de rendimiento medioambiental; y composición de los materiales.</w:t>
      </w:r>
    </w:p>
    <w:p w14:paraId="681AEEE9" w14:textId="77777777" w:rsidR="00DD6389" w:rsidRPr="00DD6389" w:rsidRDefault="00DD6389" w:rsidP="00DD6389">
      <w:pPr>
        <w:spacing w:after="160" w:line="278" w:lineRule="auto"/>
        <w:rPr>
          <w:rFonts w:ascii="Noto Sans" w:hAnsi="Noto Sans" w:cs="Noto Sans"/>
          <w:sz w:val="22"/>
        </w:rPr>
      </w:pPr>
      <w:r w:rsidRPr="00DD6389">
        <w:rPr>
          <w:rFonts w:ascii="Noto Sans" w:hAnsi="Noto Sans" w:cs="Noto Sans"/>
          <w:sz w:val="22"/>
          <w:lang w:val="es-ES"/>
        </w:rPr>
        <w:t xml:space="preserve">Aprovechar un lenguaje estandarizado para proporcionar estos datos tan detallados permite un flujo de información mucho más eficaz entre sistemas y personas, desde la fábrica hasta la obra. Permitirá a las organizaciones de construcción crear un registro digital, o "gemelo", de un edificio, con pruebas de qué productos se utilizaron y dónde. Este gemelo digital también se puede utilizar para demostrar que el edificio cumple las normas exigidas, y la incorporación de identificadores únicos permite rastrear los productos hasta el nivel de lote en el caso de los artículos producidos en masa, y hasta el nivel individual en el caso de los artículos de mayor riesgo, como las puertas cortafuegos. </w:t>
      </w:r>
    </w:p>
    <w:p w14:paraId="6C4C55FB" w14:textId="77777777" w:rsidR="00DD6389" w:rsidRPr="00DD6389" w:rsidRDefault="00DD6389" w:rsidP="00DD6389">
      <w:pPr>
        <w:spacing w:after="160" w:line="278" w:lineRule="auto"/>
        <w:rPr>
          <w:rFonts w:ascii="Noto Sans" w:hAnsi="Noto Sans" w:cs="Noto Sans"/>
          <w:b/>
          <w:bCs/>
          <w:sz w:val="22"/>
        </w:rPr>
      </w:pPr>
      <w:r w:rsidRPr="00DD6389">
        <w:rPr>
          <w:rFonts w:ascii="Noto Sans" w:hAnsi="Noto Sans" w:cs="Noto Sans"/>
          <w:b/>
          <w:bCs/>
          <w:sz w:val="22"/>
          <w:lang w:val="es-ES"/>
        </w:rPr>
        <w:t xml:space="preserve">Extraer valor de los datos más allá del cumplimiento </w:t>
      </w:r>
    </w:p>
    <w:p w14:paraId="478B6942" w14:textId="77777777" w:rsidR="00DD6389" w:rsidRPr="00DD6389" w:rsidRDefault="00DD6389" w:rsidP="00DD6389">
      <w:pPr>
        <w:spacing w:after="160" w:line="278" w:lineRule="auto"/>
        <w:rPr>
          <w:rFonts w:ascii="Noto Sans" w:hAnsi="Noto Sans" w:cs="Noto Sans"/>
          <w:sz w:val="22"/>
        </w:rPr>
      </w:pPr>
      <w:r w:rsidRPr="00DD6389">
        <w:rPr>
          <w:rFonts w:ascii="Noto Sans" w:hAnsi="Noto Sans" w:cs="Noto Sans"/>
          <w:sz w:val="22"/>
          <w:lang w:val="es-ES"/>
        </w:rPr>
        <w:t xml:space="preserve">El cumplimiento normativo debería ser solo el comienzo de un cambio operativo significativo y de beneficios adicionales, más allá de seguir cumpliendo las normativas. Una mejor información sobre los productos puede impulsar una mayor automatización y la gestión de procesos en tiempo real, lo que puede mejorar significativamente el rendimiento operativo diario. En las empresas de construcción, las entregas de productos se pueden escanear cuando llegan a la obra, lo que elimina las imprecisiones y los retrasos asociados al papeleo manual. </w:t>
      </w:r>
    </w:p>
    <w:p w14:paraId="4A51D22E" w14:textId="77777777" w:rsidR="00DD6389" w:rsidRPr="00DD6389" w:rsidRDefault="00DD6389" w:rsidP="00DD6389">
      <w:pPr>
        <w:spacing w:after="160" w:line="278" w:lineRule="auto"/>
        <w:rPr>
          <w:rFonts w:ascii="Noto Sans" w:hAnsi="Noto Sans" w:cs="Noto Sans"/>
          <w:sz w:val="22"/>
        </w:rPr>
      </w:pPr>
      <w:r w:rsidRPr="00DD6389">
        <w:rPr>
          <w:rFonts w:ascii="Noto Sans" w:hAnsi="Noto Sans" w:cs="Noto Sans"/>
          <w:sz w:val="22"/>
          <w:lang w:val="es-ES"/>
        </w:rPr>
        <w:lastRenderedPageBreak/>
        <w:t xml:space="preserve">El escaneo en tiempo real de los artículos a medida que se instalan puede ayudar a garantizar que se utilicen las piezas correctas en todo el proyecto de construcción. La información adicional puede incluir productos que deban combinarse para garantizar una instalación correcta, lo que mejora aún más la calidad y evita el riesgo de costosos retrasos o de no superar las inspecciones. De hecho, los inspectores de obra que conocen de antemano y en detalle las áreas específicas de alto riesgo que requieren evaluación pueden llevar a cabo inspecciones más específicas y rápidas, y dar el visto bueno con mayor celeridad. </w:t>
      </w:r>
    </w:p>
    <w:p w14:paraId="3FF91A4F" w14:textId="77777777" w:rsidR="00DD6389" w:rsidRPr="00DD6389" w:rsidRDefault="00DD6389" w:rsidP="00DD6389">
      <w:pPr>
        <w:spacing w:after="160" w:line="278" w:lineRule="auto"/>
        <w:rPr>
          <w:rFonts w:ascii="Noto Sans" w:hAnsi="Noto Sans" w:cs="Noto Sans"/>
          <w:sz w:val="22"/>
        </w:rPr>
      </w:pPr>
      <w:r w:rsidRPr="00DD6389">
        <w:rPr>
          <w:rFonts w:ascii="Noto Sans" w:hAnsi="Noto Sans" w:cs="Noto Sans"/>
          <w:sz w:val="22"/>
          <w:lang w:val="es-ES"/>
        </w:rPr>
        <w:t>Sustituir el papeleo manual por información en tiempo real procedente de identificadores de producto también puede permitir que las empresas de construcción dejen atrás los pedidos de existencias "por si acaso", que tradicionalmente se han hecho para evitar retrasos. Además de reducir los costes, evitar pedir materiales de más también minimizará los residuos, lo que contribuirá aún más a los objetivos de sostenibilidad de las empresas de construcción. Los materiales sobrantes identificables pueden devolverse o reutilizarse en lugar de desecharse, lo que reduce aún más los residuos y los costes.</w:t>
      </w:r>
    </w:p>
    <w:p w14:paraId="52731C3E" w14:textId="77777777" w:rsidR="00DD6389" w:rsidRPr="00DD6389" w:rsidRDefault="00DD6389" w:rsidP="00DD6389">
      <w:pPr>
        <w:spacing w:after="160" w:line="278" w:lineRule="auto"/>
        <w:rPr>
          <w:rFonts w:ascii="Noto Sans" w:hAnsi="Noto Sans" w:cs="Noto Sans"/>
          <w:b/>
          <w:bCs/>
          <w:sz w:val="22"/>
        </w:rPr>
      </w:pPr>
      <w:r w:rsidRPr="00DD6389">
        <w:rPr>
          <w:rFonts w:ascii="Noto Sans" w:hAnsi="Noto Sans" w:cs="Noto Sans"/>
          <w:b/>
          <w:bCs/>
          <w:sz w:val="22"/>
          <w:lang w:val="es-ES"/>
        </w:rPr>
        <w:t>Aprovechar los datos para mejorar el rendimiento operativo</w:t>
      </w:r>
    </w:p>
    <w:p w14:paraId="250F64AC" w14:textId="77777777" w:rsidR="00DD6389" w:rsidRPr="00DD6389" w:rsidRDefault="00DD6389" w:rsidP="00DD6389">
      <w:pPr>
        <w:spacing w:after="160" w:line="278" w:lineRule="auto"/>
        <w:rPr>
          <w:rFonts w:ascii="Noto Sans" w:hAnsi="Noto Sans" w:cs="Noto Sans"/>
          <w:sz w:val="22"/>
        </w:rPr>
      </w:pPr>
      <w:r w:rsidRPr="00DD6389">
        <w:rPr>
          <w:rFonts w:ascii="Noto Sans" w:hAnsi="Noto Sans" w:cs="Noto Sans"/>
          <w:sz w:val="22"/>
          <w:lang w:val="es-ES"/>
        </w:rPr>
        <w:t xml:space="preserve">La información detallada a nivel de artículo también puede permitir que las empresas de construcción mejoren la rotación de existencias. En el caso de los artículos perecederos, como el yeso, se pueden implementar controles para evitar que los productos caduquen y se desperdicien, lo que añade tanto costes como, potencialmente, la necesidad de procesos de eliminación complejos. Y, lo que es más importante, también refuerza los protocolos de seguridad para productos como el cemento, que pueden suponer un </w:t>
      </w:r>
      <w:hyperlink r:id="rId8" w:history="1">
        <w:r w:rsidRPr="00DD6389">
          <w:rPr>
            <w:rStyle w:val="Hyperlink"/>
            <w:rFonts w:ascii="Noto Sans" w:hAnsi="Noto Sans" w:cs="Noto Sans"/>
            <w:sz w:val="22"/>
            <w:lang w:val="es-ES"/>
          </w:rPr>
          <w:t>peligro para los trabajadores</w:t>
        </w:r>
      </w:hyperlink>
      <w:r w:rsidRPr="00DD6389">
        <w:rPr>
          <w:rFonts w:ascii="Noto Sans" w:hAnsi="Noto Sans" w:cs="Noto Sans"/>
          <w:sz w:val="22"/>
          <w:lang w:val="es-ES"/>
        </w:rPr>
        <w:t xml:space="preserve"> y comprometer la integridad de la construcción.</w:t>
      </w:r>
    </w:p>
    <w:p w14:paraId="5A95CE69" w14:textId="77777777" w:rsidR="00DD6389" w:rsidRPr="00DD6389" w:rsidRDefault="00DD6389" w:rsidP="00DD6389">
      <w:pPr>
        <w:spacing w:after="160" w:line="278" w:lineRule="auto"/>
        <w:rPr>
          <w:rFonts w:ascii="Noto Sans" w:hAnsi="Noto Sans" w:cs="Noto Sans"/>
          <w:sz w:val="22"/>
        </w:rPr>
      </w:pPr>
      <w:r w:rsidRPr="00DD6389">
        <w:rPr>
          <w:rFonts w:ascii="Noto Sans" w:hAnsi="Noto Sans" w:cs="Noto Sans"/>
          <w:sz w:val="22"/>
          <w:lang w:val="es-ES"/>
        </w:rPr>
        <w:t xml:space="preserve">Para los fabricantes de productos de construcción, utilizar estándares internacionales como GS1 Digital </w:t>
      </w:r>
      <w:proofErr w:type="gramStart"/>
      <w:r w:rsidRPr="00DD6389">
        <w:rPr>
          <w:rFonts w:ascii="Noto Sans" w:hAnsi="Noto Sans" w:cs="Noto Sans"/>
          <w:sz w:val="22"/>
          <w:lang w:val="es-ES"/>
        </w:rPr>
        <w:t>Link</w:t>
      </w:r>
      <w:proofErr w:type="gramEnd"/>
      <w:r w:rsidRPr="00DD6389">
        <w:rPr>
          <w:rFonts w:ascii="Noto Sans" w:hAnsi="Noto Sans" w:cs="Noto Sans"/>
          <w:sz w:val="22"/>
          <w:lang w:val="es-ES"/>
        </w:rPr>
        <w:t xml:space="preserve"> permite hacer un seguimiento de más datos y vincularlos a los productos, lo que facilita una retirada selectiva, si es necesario. Los lotes defectuosos se pueden identificar y localizar rápidamente, lo que garantiza que solo se retiren los productos afectados y minimiza los posibles costes para la empresa. Además, una trazabilidad completa también evitará los problemas asociados a la identificación de los edificios afectados por problemas, como ocurrió tras el incendio de la torre Grenfell en Londres.</w:t>
      </w:r>
    </w:p>
    <w:p w14:paraId="401C6743" w14:textId="77777777" w:rsidR="00DD6389" w:rsidRPr="00DD6389" w:rsidRDefault="00DD6389" w:rsidP="00DD6389">
      <w:pPr>
        <w:spacing w:after="160" w:line="278" w:lineRule="auto"/>
        <w:rPr>
          <w:rFonts w:ascii="Noto Sans" w:hAnsi="Noto Sans" w:cs="Noto Sans"/>
          <w:sz w:val="22"/>
        </w:rPr>
      </w:pPr>
      <w:r w:rsidRPr="00DD6389">
        <w:rPr>
          <w:rFonts w:ascii="Noto Sans" w:hAnsi="Noto Sans" w:cs="Noto Sans"/>
          <w:sz w:val="22"/>
          <w:lang w:val="es-ES"/>
        </w:rPr>
        <w:t xml:space="preserve">Esta cantidad y calidad de datos, cuando se accede a ella mediante un identificador de producto, también puede respaldar actividades contra la falsificación mucho más eficaces, ya que permite a las obras verificar los materiales genuinos y utilizar con confianza productos auténticos y seguros y, mediante el uso de </w:t>
      </w:r>
      <w:proofErr w:type="spellStart"/>
      <w:r w:rsidRPr="00DD6389">
        <w:rPr>
          <w:rFonts w:ascii="Noto Sans" w:hAnsi="Noto Sans" w:cs="Noto Sans"/>
          <w:sz w:val="22"/>
          <w:lang w:val="es-ES"/>
        </w:rPr>
        <w:t>resolvers</w:t>
      </w:r>
      <w:proofErr w:type="spellEnd"/>
      <w:r w:rsidRPr="00DD6389">
        <w:rPr>
          <w:rFonts w:ascii="Noto Sans" w:hAnsi="Noto Sans" w:cs="Noto Sans"/>
          <w:sz w:val="22"/>
          <w:lang w:val="es-ES"/>
        </w:rPr>
        <w:t xml:space="preserve">, permite que las distintas </w:t>
      </w:r>
      <w:r w:rsidRPr="00DD6389">
        <w:rPr>
          <w:rFonts w:ascii="Noto Sans" w:hAnsi="Noto Sans" w:cs="Noto Sans"/>
          <w:sz w:val="22"/>
          <w:lang w:val="es-ES"/>
        </w:rPr>
        <w:lastRenderedPageBreak/>
        <w:t xml:space="preserve">partes interesadas accedan a diferentes conjuntos de datos o páginas web en distintos puntos de la cadena de valor.  </w:t>
      </w:r>
    </w:p>
    <w:p w14:paraId="1CB25C5E" w14:textId="77777777" w:rsidR="00DD6389" w:rsidRPr="00DD6389" w:rsidRDefault="00DD6389" w:rsidP="00DD6389">
      <w:pPr>
        <w:spacing w:after="160" w:line="278" w:lineRule="auto"/>
        <w:rPr>
          <w:rFonts w:ascii="Noto Sans" w:hAnsi="Noto Sans" w:cs="Noto Sans"/>
          <w:b/>
          <w:bCs/>
          <w:sz w:val="22"/>
        </w:rPr>
      </w:pPr>
      <w:r w:rsidRPr="00DD6389">
        <w:rPr>
          <w:rFonts w:ascii="Noto Sans" w:hAnsi="Noto Sans" w:cs="Noto Sans"/>
          <w:b/>
          <w:bCs/>
          <w:sz w:val="22"/>
          <w:lang w:val="es-ES"/>
        </w:rPr>
        <w:t>Aprovecha el cumplimiento para obtener una ventaja competitiva</w:t>
      </w:r>
    </w:p>
    <w:p w14:paraId="018E52A0" w14:textId="77777777" w:rsidR="00DD6389" w:rsidRPr="00DD6389" w:rsidRDefault="00DD6389" w:rsidP="00DD6389">
      <w:pPr>
        <w:spacing w:after="160" w:line="278" w:lineRule="auto"/>
        <w:rPr>
          <w:rFonts w:ascii="Noto Sans" w:hAnsi="Noto Sans" w:cs="Noto Sans"/>
          <w:sz w:val="22"/>
        </w:rPr>
      </w:pPr>
      <w:r w:rsidRPr="00DD6389">
        <w:rPr>
          <w:rFonts w:ascii="Noto Sans" w:hAnsi="Noto Sans" w:cs="Noto Sans"/>
          <w:sz w:val="22"/>
          <w:lang w:val="es-ES"/>
        </w:rPr>
        <w:t xml:space="preserve">La incorporación de identificadores detallados y únicos permitirá a las organizaciones de todo el sector de la edificación y la construcción garantizar el cumplimiento de las normativas nuevas y futuras. Pero, lo que es más importante, también cambiará la forma en que las organizaciones interactúan y colaboran a lo largo de toda la cadena de suministro. La información adicional y más detallada que se puede proporcionar sobre los productos, tanto a nivel de lote como individual, brinda a los fabricantes de materiales la oportunidad de integrarse en la cadena de suministro de principio a fin, ofreciendo un valor añadido a las empresas constructoras que supone un diferenciador comercial tangible. </w:t>
      </w:r>
    </w:p>
    <w:p w14:paraId="4C047ABF" w14:textId="77777777" w:rsidR="00DD6389" w:rsidRPr="00DD6389" w:rsidRDefault="00DD6389" w:rsidP="00DD6389">
      <w:pPr>
        <w:spacing w:after="160" w:line="278" w:lineRule="auto"/>
        <w:rPr>
          <w:rFonts w:ascii="Noto Sans" w:hAnsi="Noto Sans" w:cs="Noto Sans"/>
          <w:sz w:val="22"/>
        </w:rPr>
      </w:pPr>
      <w:r w:rsidRPr="00DD6389">
        <w:rPr>
          <w:rFonts w:ascii="Noto Sans" w:hAnsi="Noto Sans" w:cs="Noto Sans"/>
          <w:sz w:val="22"/>
          <w:lang w:val="es-ES"/>
        </w:rPr>
        <w:t>Ofrecer información sobre los productos mediante la adopción de estándares internacionales, como los códigos 2D impulsados por GS1, se convertirá no solo en un requisito de cumplimiento, sino también en una necesidad comercial. Hoy existe una gran oportunidad para ir más allá de la percepción de que el cumplimiento es una carga, y reconocer que los fabricantes del sector de la edificación y la construcción pueden aportar un valor significativo en toda una cadena de suministro conectada y colaborativa.</w:t>
      </w:r>
    </w:p>
    <w:p w14:paraId="14827674" w14:textId="77777777" w:rsidR="00DD6389" w:rsidRDefault="00DD6389" w:rsidP="00DD6389">
      <w:pPr>
        <w:spacing w:after="160" w:line="278" w:lineRule="auto"/>
        <w:rPr>
          <w:rFonts w:ascii="Noto Sans" w:hAnsi="Noto Sans" w:cs="Noto Sans"/>
          <w:sz w:val="22"/>
          <w:lang w:val="es-ES"/>
        </w:rPr>
      </w:pPr>
    </w:p>
    <w:p w14:paraId="1B4F01F7" w14:textId="40F1BA3C" w:rsidR="00DD6389" w:rsidRPr="00DD6389" w:rsidRDefault="00DD6389" w:rsidP="00DD6389">
      <w:pPr>
        <w:spacing w:after="160" w:line="278" w:lineRule="auto"/>
        <w:rPr>
          <w:rFonts w:ascii="Noto Sans" w:hAnsi="Noto Sans" w:cs="Noto Sans"/>
          <w:sz w:val="22"/>
          <w:lang w:val="es-ES"/>
        </w:rPr>
      </w:pPr>
      <w:r w:rsidRPr="00DD6389">
        <w:rPr>
          <w:rFonts w:ascii="Noto Sans" w:hAnsi="Noto Sans" w:cs="Noto Sans"/>
          <w:sz w:val="22"/>
          <w:lang w:val="es-ES"/>
        </w:rPr>
        <w:t>&lt;</w:t>
      </w:r>
      <w:r w:rsidRPr="00DD6389">
        <w:rPr>
          <w:rFonts w:ascii="Noto Sans" w:hAnsi="Noto Sans" w:cs="Noto Sans"/>
          <w:b/>
          <w:bCs/>
          <w:sz w:val="22"/>
          <w:lang w:val="es-ES"/>
        </w:rPr>
        <w:t>FIN</w:t>
      </w:r>
      <w:r w:rsidRPr="00DD6389">
        <w:rPr>
          <w:rFonts w:ascii="Noto Sans" w:hAnsi="Noto Sans" w:cs="Noto Sans"/>
          <w:sz w:val="22"/>
          <w:lang w:val="es-ES"/>
        </w:rPr>
        <w:t>&gt;</w:t>
      </w:r>
    </w:p>
    <w:p w14:paraId="4766770B" w14:textId="77777777" w:rsidR="00DD6389" w:rsidRDefault="00DD6389" w:rsidP="00DD6389">
      <w:pPr>
        <w:spacing w:line="240" w:lineRule="auto"/>
        <w:rPr>
          <w:rFonts w:ascii="Noto Sans" w:hAnsi="Noto Sans" w:cs="Noto Sans"/>
          <w:b/>
          <w:bCs/>
          <w:sz w:val="20"/>
          <w:szCs w:val="20"/>
          <w:lang w:val="es"/>
        </w:rPr>
      </w:pPr>
      <w:bookmarkStart w:id="0" w:name="_Hlk531088985"/>
    </w:p>
    <w:p w14:paraId="3484D40E" w14:textId="6E65832E" w:rsidR="00DD6389" w:rsidRPr="005B2ACC" w:rsidRDefault="00DD6389" w:rsidP="00DD6389">
      <w:pPr>
        <w:spacing w:line="240" w:lineRule="auto"/>
        <w:rPr>
          <w:rFonts w:ascii="Noto Sans" w:hAnsi="Noto Sans" w:cs="Noto Sans"/>
          <w:sz w:val="20"/>
          <w:szCs w:val="20"/>
        </w:rPr>
      </w:pPr>
      <w:r>
        <w:rPr>
          <w:rFonts w:ascii="Noto Sans" w:hAnsi="Noto Sans" w:cs="Noto Sans"/>
          <w:b/>
          <w:bCs/>
          <w:sz w:val="20"/>
          <w:szCs w:val="20"/>
          <w:lang w:val="es"/>
        </w:rPr>
        <w:t>Descargo de responsabilidad</w:t>
      </w:r>
      <w:bookmarkEnd w:id="0"/>
      <w:r>
        <w:rPr>
          <w:rFonts w:ascii="Noto Sans" w:hAnsi="Noto Sans" w:cs="Noto Sans"/>
          <w:b/>
          <w:bCs/>
          <w:sz w:val="20"/>
          <w:szCs w:val="20"/>
          <w:lang w:val="es"/>
        </w:rPr>
        <w:br/>
      </w:r>
      <w:r>
        <w:rPr>
          <w:rFonts w:ascii="Noto Sans" w:hAnsi="Noto Sans" w:cs="Noto Sans"/>
          <w:b/>
          <w:bCs/>
          <w:sz w:val="20"/>
          <w:szCs w:val="20"/>
          <w:lang w:val="es"/>
        </w:rPr>
        <w:br/>
        <w:t>Tintas</w:t>
      </w:r>
      <w:r>
        <w:rPr>
          <w:rFonts w:ascii="Noto Sans" w:hAnsi="Noto Sans" w:cs="Noto Sans"/>
          <w:sz w:val="20"/>
          <w:szCs w:val="20"/>
          <w:lang w:val="es"/>
        </w:rPr>
        <w:br/>
        <w:t xml:space="preserve">La información contenida en este documento no pretende sustituir la realización de las pruebas correspondientes a su uso y circunstancias específicas. Ni Domino UK </w:t>
      </w:r>
      <w:proofErr w:type="spellStart"/>
      <w:r>
        <w:rPr>
          <w:rFonts w:ascii="Noto Sans" w:hAnsi="Noto Sans" w:cs="Noto Sans"/>
          <w:sz w:val="20"/>
          <w:szCs w:val="20"/>
          <w:lang w:val="es"/>
        </w:rPr>
        <w:t>Limited</w:t>
      </w:r>
      <w:proofErr w:type="spellEnd"/>
      <w:r>
        <w:rPr>
          <w:rFonts w:ascii="Noto Sans" w:hAnsi="Noto Sans" w:cs="Noto Sans"/>
          <w:sz w:val="20"/>
          <w:szCs w:val="20"/>
          <w:lang w:val="es"/>
        </w:rPr>
        <w:t xml:space="preserve"> ni ninguna de las empresas del grupo Domino es responsable en ninguna medida del hecho de que usted pueda basar en este documento su confianza respecto a la adecuación de cualquier tinta para su tipo determinado de aplicación. Este documento no forma parte de ningún escrito de términos y condiciones entre usted y Domino, y los términos y condiciones de venta de Domino y, en especial las garantías y responsabilidades contenidas en los mismos, serán aplicables a toda compra de productos que usted haga. </w:t>
      </w:r>
      <w:r>
        <w:rPr>
          <w:rFonts w:ascii="Noto Sans" w:hAnsi="Noto Sans" w:cs="Noto Sans"/>
          <w:sz w:val="20"/>
          <w:szCs w:val="20"/>
          <w:lang w:val="es"/>
        </w:rPr>
        <w:br/>
      </w:r>
      <w:r>
        <w:rPr>
          <w:rFonts w:ascii="Noto Sans" w:hAnsi="Noto Sans" w:cs="Noto Sans"/>
          <w:sz w:val="20"/>
          <w:szCs w:val="20"/>
          <w:lang w:val="es-ES"/>
        </w:rPr>
        <w:br/>
      </w:r>
      <w:r>
        <w:rPr>
          <w:rFonts w:ascii="Noto Sans" w:hAnsi="Noto Sans" w:cs="Noto Sans"/>
          <w:b/>
          <w:bCs/>
          <w:sz w:val="20"/>
          <w:szCs w:val="20"/>
          <w:lang w:val="es"/>
        </w:rPr>
        <w:t>Información general</w:t>
      </w:r>
      <w:r>
        <w:rPr>
          <w:rFonts w:ascii="Noto Sans" w:hAnsi="Noto Sans" w:cs="Noto Sans"/>
          <w:sz w:val="20"/>
          <w:szCs w:val="20"/>
          <w:lang w:val="es"/>
        </w:rPr>
        <w:br/>
        <w:t xml:space="preserve">La información contenida en este comunicado de prensa se considera verdadera y correcta en la fecha de publicación de Domino; los cambios en las circunstancias tras el momento de publicación pueden afectar a la precisión de </w:t>
      </w:r>
      <w:proofErr w:type="gramStart"/>
      <w:r>
        <w:rPr>
          <w:rFonts w:ascii="Noto Sans" w:hAnsi="Noto Sans" w:cs="Noto Sans"/>
          <w:sz w:val="20"/>
          <w:szCs w:val="20"/>
          <w:lang w:val="es"/>
        </w:rPr>
        <w:t>la misma</w:t>
      </w:r>
      <w:proofErr w:type="gramEnd"/>
      <w:r>
        <w:rPr>
          <w:rFonts w:ascii="Noto Sans" w:hAnsi="Noto Sans" w:cs="Noto Sans"/>
          <w:sz w:val="20"/>
          <w:szCs w:val="20"/>
          <w:lang w:val="es"/>
        </w:rPr>
        <w:t xml:space="preserve">. Todas las cifras y declaraciones de rendimiento que constan en este documento han sido obtenidas en condiciones específicas y solo pueden ser </w:t>
      </w:r>
      <w:r>
        <w:rPr>
          <w:rFonts w:ascii="Noto Sans" w:hAnsi="Noto Sans" w:cs="Noto Sans"/>
          <w:sz w:val="20"/>
          <w:szCs w:val="20"/>
          <w:lang w:val="es"/>
        </w:rPr>
        <w:lastRenderedPageBreak/>
        <w:t xml:space="preserve">reproducidas en circunstancias similares. Deberá ponerse en contacto con su comercial de Domino para más información sobre productos concretos. Este documento no forma parte de ningún escrito de términos y condiciones entre usted y Domino. </w:t>
      </w:r>
      <w:r>
        <w:rPr>
          <w:rFonts w:ascii="Noto Sans" w:hAnsi="Noto Sans" w:cs="Noto Sans"/>
          <w:sz w:val="20"/>
          <w:szCs w:val="20"/>
          <w:lang w:val="es"/>
        </w:rPr>
        <w:br/>
      </w:r>
      <w:r>
        <w:rPr>
          <w:rFonts w:ascii="Noto Sans" w:hAnsi="Noto Sans" w:cs="Noto Sans"/>
          <w:sz w:val="20"/>
          <w:szCs w:val="20"/>
          <w:lang w:val="es"/>
        </w:rPr>
        <w:br/>
      </w:r>
      <w:r>
        <w:rPr>
          <w:rFonts w:ascii="Noto Sans" w:hAnsi="Noto Sans" w:cs="Noto Sans"/>
          <w:b/>
          <w:bCs/>
          <w:sz w:val="20"/>
          <w:szCs w:val="20"/>
          <w:lang w:val="es"/>
        </w:rPr>
        <w:t>Imágenes</w:t>
      </w:r>
      <w:r>
        <w:rPr>
          <w:rFonts w:ascii="Noto Sans" w:hAnsi="Noto Sans" w:cs="Noto Sans"/>
          <w:sz w:val="20"/>
          <w:szCs w:val="20"/>
          <w:lang w:val="es"/>
        </w:rPr>
        <w:br/>
        <w:t xml:space="preserve">Las imágenes pueden incluir extras opcionales o actualizaciones. La calidad de impresión puede variar en función de los consumibles, la impresora, los sustratos y otros factores. Las imágenes y las fotografías no forman parte de ningún escrito de términos y condiciones entre usted y Domino. </w:t>
      </w:r>
      <w:r>
        <w:rPr>
          <w:rFonts w:ascii="Noto Sans" w:hAnsi="Noto Sans" w:cs="Noto Sans"/>
          <w:sz w:val="20"/>
          <w:szCs w:val="20"/>
          <w:lang w:val="es"/>
        </w:rPr>
        <w:br/>
      </w:r>
      <w:r>
        <w:rPr>
          <w:rFonts w:ascii="Noto Sans" w:hAnsi="Noto Sans" w:cs="Noto Sans"/>
          <w:sz w:val="20"/>
          <w:szCs w:val="20"/>
          <w:lang w:val="es"/>
        </w:rPr>
        <w:br/>
      </w:r>
      <w:r>
        <w:rPr>
          <w:rFonts w:ascii="Noto Sans" w:hAnsi="Noto Sans" w:cs="Noto Sans"/>
          <w:b/>
          <w:bCs/>
          <w:sz w:val="20"/>
          <w:szCs w:val="20"/>
          <w:lang w:val="es"/>
        </w:rPr>
        <w:t>Vídeos</w:t>
      </w:r>
      <w:r>
        <w:rPr>
          <w:rFonts w:ascii="Noto Sans" w:hAnsi="Noto Sans" w:cs="Noto Sans"/>
          <w:sz w:val="20"/>
          <w:szCs w:val="20"/>
          <w:lang w:val="es"/>
        </w:rPr>
        <w:br/>
        <w:t>Este vídeo se facilita únicamente con fines ilustrativos y puede incluir extras opcionales. Las cifras de rendimiento se han obtenido en condiciones específicas; el rendimiento sobre el terreno puede variar. Algunos errores y tiempo de inactividad en las líneas de producción pueden ser inevitables. No hay nada en este vídeo que forme parte de ningún contrato entre usted y Domino.</w:t>
      </w:r>
      <w:r>
        <w:rPr>
          <w:rFonts w:ascii="Noto Sans" w:hAnsi="Noto Sans" w:cs="Noto Sans"/>
          <w:sz w:val="20"/>
          <w:szCs w:val="20"/>
          <w:lang w:val="es"/>
        </w:rPr>
        <w:br/>
      </w:r>
      <w:r>
        <w:rPr>
          <w:rFonts w:ascii="Noto Sans" w:hAnsi="Noto Sans" w:cs="Noto Sans"/>
          <w:sz w:val="20"/>
          <w:szCs w:val="20"/>
          <w:lang w:val="es"/>
        </w:rPr>
        <w:br/>
      </w:r>
      <w:bookmarkStart w:id="1" w:name="_Hlk61949672"/>
      <w:r>
        <w:rPr>
          <w:rFonts w:ascii="Noto Sans" w:hAnsi="Noto Sans" w:cs="Noto Sans"/>
          <w:b/>
          <w:bCs/>
          <w:sz w:val="20"/>
          <w:szCs w:val="20"/>
          <w:lang w:val="es"/>
        </w:rPr>
        <w:t>Notas para los editores:</w:t>
      </w:r>
      <w:r>
        <w:rPr>
          <w:rFonts w:ascii="Noto Sans" w:hAnsi="Noto Sans" w:cs="Noto Sans"/>
          <w:sz w:val="20"/>
          <w:szCs w:val="20"/>
          <w:lang w:val="es"/>
        </w:rPr>
        <w:br/>
      </w:r>
      <w:r>
        <w:rPr>
          <w:rFonts w:ascii="Noto Sans" w:hAnsi="Noto Sans" w:cs="Noto Sans"/>
          <w:sz w:val="20"/>
          <w:szCs w:val="20"/>
          <w:lang w:val="es"/>
        </w:rPr>
        <w:br/>
      </w:r>
      <w:r>
        <w:rPr>
          <w:rFonts w:ascii="Noto Sans" w:hAnsi="Noto Sans" w:cs="Noto Sans"/>
          <w:b/>
          <w:bCs/>
          <w:sz w:val="20"/>
          <w:szCs w:val="20"/>
          <w:lang w:val="es"/>
        </w:rPr>
        <w:t>Acerca de Domino</w:t>
      </w:r>
      <w:r>
        <w:rPr>
          <w:rFonts w:ascii="Noto Sans" w:hAnsi="Noto Sans" w:cs="Noto Sans"/>
          <w:sz w:val="20"/>
          <w:szCs w:val="20"/>
          <w:lang w:val="es"/>
        </w:rPr>
        <w:br/>
      </w:r>
      <w:proofErr w:type="spellStart"/>
      <w:r>
        <w:rPr>
          <w:rFonts w:ascii="Noto Sans" w:hAnsi="Noto Sans" w:cs="Noto Sans"/>
          <w:sz w:val="20"/>
          <w:szCs w:val="20"/>
          <w:lang w:val="es"/>
        </w:rPr>
        <w:t>Domino</w:t>
      </w:r>
      <w:proofErr w:type="spellEnd"/>
      <w:r>
        <w:rPr>
          <w:rFonts w:ascii="Noto Sans" w:hAnsi="Noto Sans" w:cs="Noto Sans"/>
          <w:sz w:val="20"/>
          <w:szCs w:val="20"/>
          <w:lang w:val="es"/>
        </w:rPr>
        <w:t xml:space="preserve"> Printing </w:t>
      </w:r>
      <w:proofErr w:type="spellStart"/>
      <w:r>
        <w:rPr>
          <w:rFonts w:ascii="Noto Sans" w:hAnsi="Noto Sans" w:cs="Noto Sans"/>
          <w:sz w:val="20"/>
          <w:szCs w:val="20"/>
          <w:lang w:val="es"/>
        </w:rPr>
        <w:t>Sciences</w:t>
      </w:r>
      <w:proofErr w:type="spellEnd"/>
      <w:r>
        <w:rPr>
          <w:rFonts w:ascii="Noto Sans" w:hAnsi="Noto Sans" w:cs="Noto Sans"/>
          <w:sz w:val="20"/>
          <w:szCs w:val="20"/>
          <w:lang w:val="es"/>
        </w:rPr>
        <w:t xml:space="preserve"> (Domino), empresa fundada en 1978, cuenta con un excelente prestigio a nivel mundial gracias a sus soluciones tecnológicas de codificación, marcaje e impresión. Como valor añadido, destaca su servicio internacional de postventa y atención al cliente. En la actualidad, Domino tiene una de las gamas más completas de soluciones de codificación integrales diseñadas específicamente para satisfacer los requisitos de cumplimiento y de productividad de los fabricantes en numerosos sectores, entre los que destacan la industria de alimentos y bebidas, el sector farmacéutico y el industrial. Entre las tecnologías principales de la empresa se encuentran innovadores sistemas </w:t>
      </w:r>
      <w:proofErr w:type="spellStart"/>
      <w:r>
        <w:rPr>
          <w:rFonts w:ascii="Noto Sans" w:hAnsi="Noto Sans" w:cs="Noto Sans"/>
          <w:sz w:val="20"/>
          <w:szCs w:val="20"/>
          <w:lang w:val="es"/>
        </w:rPr>
        <w:t>inkjet</w:t>
      </w:r>
      <w:proofErr w:type="spellEnd"/>
      <w:r>
        <w:rPr>
          <w:rFonts w:ascii="Noto Sans" w:hAnsi="Noto Sans" w:cs="Noto Sans"/>
          <w:sz w:val="20"/>
          <w:szCs w:val="20"/>
          <w:lang w:val="es"/>
        </w:rPr>
        <w:t xml:space="preserve">, láser, de impresión y aplicación de etiquetas y de impresión por transferencia térmica, diseñados para la aplicación de datos variables, códigos de barras y códigos de trazabilidad únicos en productos y envases. </w:t>
      </w:r>
      <w:r>
        <w:rPr>
          <w:rFonts w:ascii="Noto Sans" w:hAnsi="Noto Sans" w:cs="Noto Sans"/>
          <w:sz w:val="20"/>
          <w:szCs w:val="20"/>
          <w:lang w:val="es"/>
        </w:rPr>
        <w:br/>
      </w:r>
      <w:r>
        <w:rPr>
          <w:rFonts w:ascii="Noto Sans" w:hAnsi="Noto Sans" w:cs="Noto Sans"/>
          <w:sz w:val="20"/>
          <w:szCs w:val="20"/>
          <w:lang w:val="es"/>
        </w:rPr>
        <w:br/>
        <w:t>Domino cuenta con más de 3000 colaboradores en todo el mundo y vende a más de 120 países a través de una red global de 29 filiales y más de 200 distribuidores. Domino posee fábricas en Alemania, China, EE. UU., India, Reino Unido, Suecia y Suiza.</w:t>
      </w:r>
      <w:r>
        <w:rPr>
          <w:rFonts w:ascii="Noto Sans" w:hAnsi="Noto Sans" w:cs="Noto Sans"/>
          <w:sz w:val="20"/>
          <w:szCs w:val="20"/>
          <w:lang w:val="es"/>
        </w:rPr>
        <w:br/>
      </w:r>
      <w:r>
        <w:rPr>
          <w:rFonts w:ascii="Noto Sans" w:hAnsi="Noto Sans" w:cs="Noto Sans"/>
          <w:sz w:val="20"/>
          <w:szCs w:val="20"/>
          <w:lang w:val="es"/>
        </w:rPr>
        <w:br/>
        <w:t xml:space="preserve">Domino pasó a ser una división autónoma de Brother Industries Ltd. el 11 de junio de 2015. </w:t>
      </w:r>
      <w:r>
        <w:rPr>
          <w:rFonts w:ascii="Noto Sans" w:hAnsi="Noto Sans" w:cs="Noto Sans"/>
          <w:sz w:val="20"/>
          <w:szCs w:val="20"/>
          <w:lang w:val="es"/>
        </w:rPr>
        <w:br/>
      </w:r>
      <w:r>
        <w:rPr>
          <w:rFonts w:ascii="Noto Sans" w:hAnsi="Noto Sans" w:cs="Noto Sans"/>
          <w:sz w:val="20"/>
          <w:szCs w:val="20"/>
          <w:lang w:val="es"/>
        </w:rPr>
        <w:br/>
        <w:t>Para obtener más información sobre Domino,</w:t>
      </w:r>
      <w:r>
        <w:rPr>
          <w:rFonts w:ascii="Noto Sans" w:hAnsi="Noto Sans" w:cs="Noto Sans"/>
          <w:sz w:val="20"/>
          <w:szCs w:val="20"/>
          <w:lang w:val="es"/>
        </w:rPr>
        <w:br/>
        <w:t xml:space="preserve">visite </w:t>
      </w:r>
      <w:hyperlink r:id="rId9" w:history="1">
        <w:r>
          <w:rPr>
            <w:rStyle w:val="Hyperlink"/>
            <w:rFonts w:ascii="Noto Sans" w:hAnsi="Noto Sans" w:cs="Noto Sans"/>
            <w:sz w:val="20"/>
            <w:szCs w:val="20"/>
            <w:lang w:val="es"/>
          </w:rPr>
          <w:t>www.domino-spain.com</w:t>
        </w:r>
      </w:hyperlink>
      <w:r>
        <w:rPr>
          <w:rFonts w:ascii="Noto Sans" w:hAnsi="Noto Sans" w:cs="Noto Sans"/>
          <w:sz w:val="20"/>
          <w:szCs w:val="20"/>
          <w:lang w:val="es"/>
        </w:rPr>
        <w:t xml:space="preserve">. </w:t>
      </w:r>
      <w:r>
        <w:rPr>
          <w:rFonts w:ascii="Noto Sans" w:hAnsi="Noto Sans" w:cs="Noto Sans"/>
          <w:sz w:val="20"/>
          <w:szCs w:val="20"/>
          <w:lang w:val="es"/>
        </w:rPr>
        <w:br/>
      </w:r>
      <w:r>
        <w:rPr>
          <w:rFonts w:ascii="Noto Sans" w:hAnsi="Noto Sans" w:cs="Noto Sans"/>
          <w:sz w:val="20"/>
          <w:szCs w:val="20"/>
          <w:lang w:val="es"/>
        </w:rPr>
        <w:br/>
      </w:r>
      <w:r>
        <w:rPr>
          <w:rFonts w:ascii="Noto Sans" w:hAnsi="Noto Sans" w:cs="Noto Sans"/>
          <w:b/>
          <w:bCs/>
          <w:sz w:val="20"/>
          <w:szCs w:val="20"/>
          <w:lang w:val="es"/>
        </w:rPr>
        <w:t>Contactos:</w:t>
      </w:r>
      <w:r>
        <w:rPr>
          <w:rFonts w:ascii="Noto Sans" w:hAnsi="Noto Sans" w:cs="Noto Sans"/>
          <w:sz w:val="20"/>
          <w:szCs w:val="20"/>
          <w:lang w:val="es"/>
        </w:rPr>
        <w:br/>
      </w:r>
      <w:r>
        <w:rPr>
          <w:rFonts w:ascii="Noto Sans" w:hAnsi="Noto Sans" w:cs="Noto Sans"/>
          <w:sz w:val="20"/>
          <w:szCs w:val="20"/>
          <w:lang w:val="es"/>
        </w:rPr>
        <w:br/>
      </w:r>
      <w:bookmarkEnd w:id="1"/>
      <w:r w:rsidRPr="00F4774E">
        <w:rPr>
          <w:rFonts w:ascii="Noto Sans" w:hAnsi="Noto Sans" w:cs="Noto Sans"/>
          <w:sz w:val="20"/>
          <w:szCs w:val="20"/>
          <w:lang w:val="nl"/>
        </w:rPr>
        <w:t>Jade Taylor-Salazar</w:t>
      </w:r>
      <w:r>
        <w:rPr>
          <w:rFonts w:ascii="Noto Sans" w:hAnsi="Noto Sans" w:cs="Noto Sans"/>
          <w:sz w:val="20"/>
          <w:szCs w:val="20"/>
          <w:lang w:val="es"/>
        </w:rPr>
        <w:br/>
        <w:t xml:space="preserve">RR. PP. y gestora de contenidos </w:t>
      </w:r>
      <w:r>
        <w:rPr>
          <w:rFonts w:ascii="Noto Sans" w:hAnsi="Noto Sans" w:cs="Noto Sans"/>
          <w:sz w:val="20"/>
          <w:szCs w:val="20"/>
          <w:lang w:val="es"/>
        </w:rPr>
        <w:br/>
        <w:t xml:space="preserve">Domino Printing </w:t>
      </w:r>
      <w:proofErr w:type="spellStart"/>
      <w:r>
        <w:rPr>
          <w:rFonts w:ascii="Noto Sans" w:hAnsi="Noto Sans" w:cs="Noto Sans"/>
          <w:sz w:val="20"/>
          <w:szCs w:val="20"/>
          <w:lang w:val="es"/>
        </w:rPr>
        <w:t>Sciences</w:t>
      </w:r>
      <w:proofErr w:type="spellEnd"/>
      <w:r>
        <w:rPr>
          <w:rFonts w:ascii="Noto Sans" w:hAnsi="Noto Sans" w:cs="Noto Sans"/>
          <w:sz w:val="20"/>
          <w:szCs w:val="20"/>
          <w:lang w:val="es"/>
        </w:rPr>
        <w:t xml:space="preserve"> </w:t>
      </w:r>
      <w:r>
        <w:rPr>
          <w:rFonts w:ascii="Noto Sans" w:hAnsi="Noto Sans" w:cs="Noto Sans"/>
          <w:sz w:val="20"/>
          <w:szCs w:val="20"/>
          <w:lang w:val="es"/>
        </w:rPr>
        <w:br/>
        <w:t>Tel.: +44 1954 778 780</w:t>
      </w:r>
      <w:r>
        <w:rPr>
          <w:rFonts w:ascii="Noto Sans" w:hAnsi="Noto Sans" w:cs="Noto Sans"/>
          <w:sz w:val="20"/>
          <w:szCs w:val="20"/>
          <w:lang w:val="es"/>
        </w:rPr>
        <w:br/>
      </w:r>
      <w:hyperlink r:id="rId10" w:history="1">
        <w:r w:rsidRPr="00DD4585">
          <w:rPr>
            <w:rStyle w:val="Hyperlink"/>
            <w:rFonts w:ascii="Noto Sans" w:hAnsi="Noto Sans" w:cs="Noto Sans"/>
            <w:sz w:val="20"/>
            <w:szCs w:val="20"/>
            <w:lang w:val="es-ES"/>
          </w:rPr>
          <w:t>Jade.Taylor-Salazar@domino-uk.com</w:t>
        </w:r>
      </w:hyperlink>
      <w:r>
        <w:rPr>
          <w:rFonts w:ascii="Noto Sans" w:hAnsi="Noto Sans" w:cs="Noto Sans"/>
          <w:sz w:val="20"/>
          <w:szCs w:val="20"/>
          <w:lang w:val="es"/>
        </w:rPr>
        <w:t xml:space="preserve"> </w:t>
      </w:r>
      <w:r>
        <w:rPr>
          <w:rFonts w:ascii="Noto Sans" w:hAnsi="Noto Sans" w:cs="Noto Sans"/>
          <w:sz w:val="20"/>
          <w:szCs w:val="20"/>
          <w:lang w:val="es"/>
        </w:rPr>
        <w:br/>
      </w:r>
      <w:r>
        <w:rPr>
          <w:rFonts w:ascii="Noto Sans" w:hAnsi="Noto Sans" w:cs="Noto Sans"/>
          <w:sz w:val="20"/>
          <w:szCs w:val="20"/>
          <w:lang w:val="es"/>
        </w:rPr>
        <w:br/>
        <w:t xml:space="preserve">Dafne Petracca </w:t>
      </w:r>
      <w:r w:rsidRPr="005B2ACC">
        <w:rPr>
          <w:rFonts w:ascii="Noto Sans" w:hAnsi="Noto Sans" w:cs="Noto Sans"/>
          <w:sz w:val="20"/>
          <w:szCs w:val="20"/>
        </w:rPr>
        <w:t>Rodríguez</w:t>
      </w:r>
    </w:p>
    <w:p w14:paraId="66C7E191" w14:textId="77777777" w:rsidR="00DD6389" w:rsidRPr="00024078" w:rsidRDefault="00DD6389" w:rsidP="00DD6389">
      <w:pPr>
        <w:spacing w:line="240" w:lineRule="auto"/>
        <w:rPr>
          <w:rFonts w:ascii="Noto Sans" w:hAnsi="Noto Sans" w:cs="Noto Sans"/>
          <w:sz w:val="20"/>
          <w:szCs w:val="20"/>
          <w:lang w:val="es-ES"/>
        </w:rPr>
      </w:pPr>
      <w:r>
        <w:rPr>
          <w:rFonts w:ascii="Noto Sans" w:hAnsi="Noto Sans" w:cs="Noto Sans"/>
          <w:sz w:val="20"/>
          <w:szCs w:val="20"/>
          <w:lang w:val="es"/>
        </w:rPr>
        <w:lastRenderedPageBreak/>
        <w:t>Coordinadora de marketing</w:t>
      </w:r>
      <w:r>
        <w:rPr>
          <w:rFonts w:ascii="Noto Sans" w:hAnsi="Noto Sans" w:cs="Noto Sans"/>
          <w:sz w:val="20"/>
          <w:szCs w:val="20"/>
          <w:lang w:val="es"/>
        </w:rPr>
        <w:br/>
        <w:t>Domino España</w:t>
      </w:r>
      <w:r>
        <w:rPr>
          <w:rFonts w:ascii="Noto Sans" w:hAnsi="Noto Sans" w:cs="Noto Sans"/>
          <w:sz w:val="20"/>
          <w:szCs w:val="20"/>
          <w:lang w:val="es"/>
        </w:rPr>
        <w:br/>
        <w:t>Tel.: +34 616 074 252</w:t>
      </w:r>
      <w:r>
        <w:rPr>
          <w:rFonts w:ascii="Noto Sans" w:hAnsi="Noto Sans" w:cs="Noto Sans"/>
          <w:sz w:val="20"/>
          <w:szCs w:val="20"/>
          <w:lang w:val="es"/>
        </w:rPr>
        <w:br/>
      </w:r>
      <w:hyperlink r:id="rId11" w:history="1">
        <w:r>
          <w:rPr>
            <w:rStyle w:val="Hyperlink"/>
            <w:rFonts w:ascii="Noto Sans" w:hAnsi="Noto Sans" w:cs="Noto Sans"/>
            <w:sz w:val="20"/>
            <w:szCs w:val="20"/>
            <w:lang w:val="es"/>
          </w:rPr>
          <w:t>dafne.petracca@domino-spain.com</w:t>
        </w:r>
      </w:hyperlink>
      <w:r>
        <w:rPr>
          <w:rFonts w:ascii="Noto Sans" w:hAnsi="Noto Sans" w:cs="Noto Sans"/>
          <w:sz w:val="20"/>
          <w:szCs w:val="20"/>
          <w:lang w:val="es"/>
        </w:rPr>
        <w:t xml:space="preserve"> </w:t>
      </w:r>
      <w:r>
        <w:rPr>
          <w:rFonts w:ascii="Noto Sans" w:hAnsi="Noto Sans" w:cs="Noto Sans"/>
          <w:sz w:val="20"/>
          <w:szCs w:val="20"/>
          <w:lang w:val="es"/>
        </w:rPr>
        <w:br/>
      </w:r>
      <w:r>
        <w:rPr>
          <w:rFonts w:ascii="Noto Sans" w:hAnsi="Noto Sans" w:cs="Noto Sans"/>
          <w:sz w:val="20"/>
          <w:szCs w:val="20"/>
          <w:lang w:val="es"/>
        </w:rPr>
        <w:br/>
      </w:r>
    </w:p>
    <w:p w14:paraId="1D2578A1" w14:textId="77777777" w:rsidR="00DD6389" w:rsidRPr="00024078" w:rsidRDefault="00DD6389" w:rsidP="00DD6389">
      <w:pPr>
        <w:spacing w:line="240" w:lineRule="auto"/>
        <w:rPr>
          <w:rFonts w:ascii="Noto Sans" w:hAnsi="Noto Sans" w:cs="Noto Sans"/>
          <w:sz w:val="20"/>
          <w:szCs w:val="20"/>
          <w:lang w:val="es-ES"/>
        </w:rPr>
      </w:pPr>
    </w:p>
    <w:p w14:paraId="4191831E" w14:textId="77777777" w:rsidR="00DD6389" w:rsidRPr="00024078" w:rsidRDefault="00DD6389" w:rsidP="00DD6389">
      <w:pPr>
        <w:spacing w:line="240" w:lineRule="auto"/>
        <w:rPr>
          <w:rFonts w:ascii="Noto Sans" w:hAnsi="Noto Sans" w:cs="Noto Sans"/>
          <w:sz w:val="20"/>
          <w:szCs w:val="20"/>
          <w:lang w:val="es-ES"/>
        </w:rPr>
      </w:pPr>
    </w:p>
    <w:p w14:paraId="62E5DB2F" w14:textId="065FEC72" w:rsidR="00DD6389" w:rsidRPr="00DD6389" w:rsidRDefault="00DD6389" w:rsidP="00DD6389">
      <w:pPr>
        <w:spacing w:after="160" w:line="278" w:lineRule="auto"/>
        <w:rPr>
          <w:rFonts w:ascii="Noto Sans" w:hAnsi="Noto Sans" w:cs="Noto Sans"/>
          <w:sz w:val="22"/>
        </w:rPr>
      </w:pPr>
    </w:p>
    <w:p w14:paraId="271691A9" w14:textId="77777777" w:rsidR="00DD6389" w:rsidRDefault="00DD6389" w:rsidP="00DD6389"/>
    <w:p w14:paraId="53EB7C38" w14:textId="27DED657" w:rsidR="00DD6389" w:rsidRDefault="00DD6389" w:rsidP="00DD6389"/>
    <w:p w14:paraId="53EB7C38" w14:textId="27DED657" w:rsidR="005524DB" w:rsidRPr="00DD6389" w:rsidRDefault="005524DB" w:rsidP="008E7573">
      <w:pPr>
        <w:rPr>
          <w:rFonts w:ascii="Noto Sans" w:hAnsi="Noto Sans" w:cs="Noto Sans"/>
          <w:sz w:val="22"/>
        </w:rPr>
      </w:pPr>
    </w:p>
    <w:sectPr w:rsidR="005524DB" w:rsidRPr="00DD6389" w:rsidSect="000F6D0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72356" w14:textId="77777777" w:rsidR="00144702" w:rsidRDefault="00144702" w:rsidP="00785717">
      <w:pPr>
        <w:spacing w:line="240" w:lineRule="auto"/>
      </w:pPr>
      <w:r>
        <w:separator/>
      </w:r>
    </w:p>
  </w:endnote>
  <w:endnote w:type="continuationSeparator" w:id="0">
    <w:p w14:paraId="23CC3B7D" w14:textId="77777777" w:rsidR="00144702" w:rsidRDefault="00144702"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F32A"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23E4" w14:textId="77777777" w:rsidR="00785717" w:rsidRDefault="000F6D00" w:rsidP="00785717">
    <w:pPr>
      <w:pStyle w:val="Footer"/>
    </w:pPr>
    <w:r>
      <w:rPr>
        <w:noProof/>
      </w:rPr>
      <w:drawing>
        <wp:anchor distT="0" distB="0" distL="114300" distR="114300" simplePos="0" relativeHeight="251659264" behindDoc="0" locked="0" layoutInCell="1" allowOverlap="1" wp14:anchorId="5F1A3A08" wp14:editId="0C311E39">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536137F7" wp14:editId="53ACCE9A">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FA95"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5910B" w14:textId="77777777" w:rsidR="00144702" w:rsidRDefault="00144702" w:rsidP="00785717">
      <w:pPr>
        <w:spacing w:line="240" w:lineRule="auto"/>
      </w:pPr>
      <w:r>
        <w:separator/>
      </w:r>
    </w:p>
  </w:footnote>
  <w:footnote w:type="continuationSeparator" w:id="0">
    <w:p w14:paraId="24AA7BFB" w14:textId="77777777" w:rsidR="00144702" w:rsidRDefault="00144702"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E0BA"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D583" w14:textId="77777777" w:rsidR="000F6D00" w:rsidRDefault="002766D9">
    <w:pPr>
      <w:pStyle w:val="Header"/>
    </w:pPr>
    <w:r>
      <w:rPr>
        <w:noProof/>
      </w:rPr>
      <w:drawing>
        <wp:anchor distT="0" distB="0" distL="114300" distR="114300" simplePos="0" relativeHeight="251661312" behindDoc="0" locked="0" layoutInCell="1" allowOverlap="1" wp14:anchorId="652D8042" wp14:editId="1D9E5B1D">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E02A"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4D"/>
    <w:rsid w:val="0002201E"/>
    <w:rsid w:val="000F6D00"/>
    <w:rsid w:val="00113106"/>
    <w:rsid w:val="00144702"/>
    <w:rsid w:val="001D743C"/>
    <w:rsid w:val="002766D9"/>
    <w:rsid w:val="002C3337"/>
    <w:rsid w:val="002C3386"/>
    <w:rsid w:val="00372E92"/>
    <w:rsid w:val="005272B1"/>
    <w:rsid w:val="005524DB"/>
    <w:rsid w:val="005741C7"/>
    <w:rsid w:val="0060122E"/>
    <w:rsid w:val="00647055"/>
    <w:rsid w:val="00660F46"/>
    <w:rsid w:val="00682566"/>
    <w:rsid w:val="00785717"/>
    <w:rsid w:val="008220B7"/>
    <w:rsid w:val="00823B77"/>
    <w:rsid w:val="008916A8"/>
    <w:rsid w:val="008B6461"/>
    <w:rsid w:val="008E7573"/>
    <w:rsid w:val="008F3E38"/>
    <w:rsid w:val="008F74D8"/>
    <w:rsid w:val="00931996"/>
    <w:rsid w:val="00943A95"/>
    <w:rsid w:val="009A1716"/>
    <w:rsid w:val="009A1DEC"/>
    <w:rsid w:val="009D6280"/>
    <w:rsid w:val="009E564D"/>
    <w:rsid w:val="00A34918"/>
    <w:rsid w:val="00AB11DA"/>
    <w:rsid w:val="00B23C3C"/>
    <w:rsid w:val="00B546C5"/>
    <w:rsid w:val="00BC7C15"/>
    <w:rsid w:val="00C063FE"/>
    <w:rsid w:val="00C44603"/>
    <w:rsid w:val="00C541FE"/>
    <w:rsid w:val="00CF1AD5"/>
    <w:rsid w:val="00DD6389"/>
    <w:rsid w:val="00E03029"/>
    <w:rsid w:val="00EC1C5A"/>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75E0C"/>
  <w15:chartTrackingRefBased/>
  <w15:docId w15:val="{C5FE791E-4976-45BD-8795-31D7E3D9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 w:type="paragraph" w:styleId="CommentText">
    <w:name w:val="annotation text"/>
    <w:basedOn w:val="Normal"/>
    <w:link w:val="CommentTextChar"/>
    <w:uiPriority w:val="99"/>
    <w:semiHidden/>
    <w:unhideWhenUsed/>
    <w:rsid w:val="00DD6389"/>
    <w:pPr>
      <w:spacing w:after="16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DD6389"/>
    <w:rPr>
      <w:sz w:val="20"/>
      <w:szCs w:val="20"/>
    </w:rPr>
  </w:style>
  <w:style w:type="character" w:styleId="CommentReference">
    <w:name w:val="annotation reference"/>
    <w:basedOn w:val="DefaultParagraphFont"/>
    <w:uiPriority w:val="99"/>
    <w:semiHidden/>
    <w:unhideWhenUsed/>
    <w:rsid w:val="00DD638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se.gov.uk/construction/healthrisks/hazardous-substances/cement.ht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domino-printing.com/es-es/home.aspx?utm_medium=non-paid&amp;utm_source=onlinepublication&amp;utm_content=bandc-beyond-compliance-tlp-es&amp;utm_campaign=2026-int-es-global-pr-cm-fy26-q1"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www.domino-printing.com/es-es/blog/2025/construir-con-mas-inteligencia-el-papel-de-los-codigos-2d-en-la-optimizacion-de-la-coordinacion?utm_medium=non-paid&amp;utm_source=onlinepublication&amp;utm_content=bandc-beyond-compliance-tlp-es&amp;utm_campaign=2026-int-es-global-pr-cm-fy26-q1" TargetMode="External"/><Relationship Id="rId11" Type="http://schemas.openxmlformats.org/officeDocument/2006/relationships/hyperlink" Target="mailto:dafne.petracca@domino-spain.com"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mailto:Jade.Taylor-Salazar@domino-uk.co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file:///\\dps.local\Group\Domino\Marketing\Group_Marketing\Brand_Content_&amp;_PR_Marketing\PR\Press%20Releases\1%20PR%20info\Regional%20disclaimer%20and%20boilerplate\www.domino-spain.com"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_Taylor-Salazar\AppData\Roaming\Microsoft\Templates\header%20and%20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header and footer</Template>
  <TotalTime>3</TotalTime>
  <Pages>7</Pages>
  <Words>2119</Words>
  <Characters>12080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Taylor-Salazar</dc:creator>
  <cp:keywords/>
  <dc:description/>
  <cp:lastModifiedBy>Rachael Cooper</cp:lastModifiedBy>
  <cp:revision>2</cp:revision>
  <dcterms:created xsi:type="dcterms:W3CDTF">2026-07-24T09:18:00Z</dcterms:created>
  <dcterms:modified xsi:type="dcterms:W3CDTF">2026-07-24T09:18:00Z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8c460ca5-f23d-4821-b40e-ba4a1f2458c0</vt:lpwstr>
  </property>
</Properties>
</file>