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8E8D2" w14:textId="187A2465" w:rsidR="0001791C" w:rsidRPr="001E600B" w:rsidRDefault="0001791C" w:rsidP="001E60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0"/>
          <w:szCs w:val="20"/>
        </w:rPr>
      </w:pPr>
    </w:p>
    <w:p w14:paraId="637F7E09" w14:textId="134DAC20" w:rsidR="001E600B" w:rsidRDefault="001E600B" w:rsidP="001E60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color w:val="000000"/>
          <w:sz w:val="20"/>
          <w:szCs w:val="20"/>
        </w:rPr>
      </w:pPr>
    </w:p>
    <w:p w14:paraId="55EA3B34" w14:textId="77777777" w:rsidR="001E600B" w:rsidRPr="001E600B" w:rsidRDefault="001E600B" w:rsidP="001E1F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color w:val="000000"/>
          <w:sz w:val="20"/>
          <w:szCs w:val="20"/>
        </w:rPr>
      </w:pPr>
    </w:p>
    <w:p w14:paraId="175977E5" w14:textId="36FFF6CD" w:rsidR="001E1FED" w:rsidRDefault="007E3F3F" w:rsidP="007E3F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color w:val="000000"/>
          <w:sz w:val="20"/>
          <w:szCs w:val="20"/>
        </w:rPr>
      </w:pPr>
      <w:r w:rsidRPr="007E3F3F">
        <w:rPr>
          <w:b/>
          <w:bCs/>
          <w:color w:val="000000"/>
          <w:sz w:val="20"/>
          <w:szCs w:val="20"/>
        </w:rPr>
        <w:t>Rynek handlowy z najwyższ</w:t>
      </w:r>
      <w:r w:rsidR="00A21A57">
        <w:rPr>
          <w:b/>
          <w:bCs/>
          <w:color w:val="000000"/>
          <w:sz w:val="20"/>
          <w:szCs w:val="20"/>
        </w:rPr>
        <w:t>ą</w:t>
      </w:r>
      <w:r w:rsidRPr="007E3F3F">
        <w:rPr>
          <w:b/>
          <w:bCs/>
          <w:color w:val="000000"/>
          <w:sz w:val="20"/>
          <w:szCs w:val="20"/>
        </w:rPr>
        <w:t xml:space="preserve"> kwartaln</w:t>
      </w:r>
      <w:r w:rsidR="00A21A57">
        <w:rPr>
          <w:b/>
          <w:bCs/>
          <w:color w:val="000000"/>
          <w:sz w:val="20"/>
          <w:szCs w:val="20"/>
        </w:rPr>
        <w:t>ą</w:t>
      </w:r>
      <w:r w:rsidRPr="007E3F3F">
        <w:rPr>
          <w:b/>
          <w:bCs/>
          <w:color w:val="000000"/>
          <w:sz w:val="20"/>
          <w:szCs w:val="20"/>
        </w:rPr>
        <w:t xml:space="preserve"> </w:t>
      </w:r>
      <w:r w:rsidR="00A21A57">
        <w:rPr>
          <w:b/>
          <w:bCs/>
          <w:color w:val="000000"/>
          <w:sz w:val="20"/>
          <w:szCs w:val="20"/>
        </w:rPr>
        <w:t>wartością</w:t>
      </w:r>
      <w:r w:rsidRPr="007E3F3F">
        <w:rPr>
          <w:b/>
          <w:bCs/>
          <w:color w:val="000000"/>
          <w:sz w:val="20"/>
          <w:szCs w:val="20"/>
        </w:rPr>
        <w:t xml:space="preserve"> transakcji od lat</w:t>
      </w:r>
    </w:p>
    <w:p w14:paraId="1E049A06" w14:textId="77777777" w:rsidR="007E3F3F" w:rsidRPr="001E1FED" w:rsidRDefault="007E3F3F" w:rsidP="001E1F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20"/>
          <w:szCs w:val="20"/>
        </w:rPr>
      </w:pPr>
    </w:p>
    <w:p w14:paraId="086FD2B5" w14:textId="79550807" w:rsidR="001E1FED" w:rsidRPr="001E1FED" w:rsidRDefault="001E1FED" w:rsidP="001E1F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color w:val="000000"/>
          <w:sz w:val="20"/>
          <w:szCs w:val="20"/>
        </w:rPr>
      </w:pPr>
      <w:r w:rsidRPr="001E1FED">
        <w:rPr>
          <w:b/>
          <w:bCs/>
          <w:color w:val="000000"/>
          <w:sz w:val="20"/>
          <w:szCs w:val="20"/>
        </w:rPr>
        <w:t xml:space="preserve">Jak podsumowała </w:t>
      </w:r>
      <w:r w:rsidR="00A21A57">
        <w:rPr>
          <w:b/>
          <w:bCs/>
          <w:color w:val="000000"/>
          <w:sz w:val="20"/>
          <w:szCs w:val="20"/>
        </w:rPr>
        <w:t xml:space="preserve">podsumowali eksperci </w:t>
      </w:r>
      <w:r w:rsidRPr="001E1FED">
        <w:rPr>
          <w:b/>
          <w:bCs/>
          <w:color w:val="000000"/>
          <w:sz w:val="20"/>
          <w:szCs w:val="20"/>
        </w:rPr>
        <w:t>Cushman &amp; Wakefield</w:t>
      </w:r>
      <w:r w:rsidR="00A21A57">
        <w:rPr>
          <w:b/>
          <w:bCs/>
          <w:color w:val="000000"/>
          <w:sz w:val="20"/>
          <w:szCs w:val="20"/>
        </w:rPr>
        <w:t xml:space="preserve"> Poland</w:t>
      </w:r>
      <w:r w:rsidRPr="001E1FED">
        <w:rPr>
          <w:b/>
          <w:bCs/>
          <w:color w:val="000000"/>
          <w:sz w:val="20"/>
          <w:szCs w:val="20"/>
        </w:rPr>
        <w:t xml:space="preserve">, w drugim kwartale 2026 roku na rynku nieruchomości handlowych sfinalizowano 10 transakcji o łącznej wartości blisko 713 mln EUR. Był to wynik ponad pięciokrotnie wyższy niż w analogicznym okresie poprzedniego roku, kiedy </w:t>
      </w:r>
      <w:r w:rsidR="00A21A57">
        <w:rPr>
          <w:b/>
          <w:bCs/>
          <w:color w:val="000000"/>
          <w:sz w:val="20"/>
          <w:szCs w:val="20"/>
        </w:rPr>
        <w:t xml:space="preserve">wartość ta </w:t>
      </w:r>
      <w:r w:rsidRPr="001E1FED">
        <w:rPr>
          <w:b/>
          <w:bCs/>
          <w:color w:val="000000"/>
          <w:sz w:val="20"/>
          <w:szCs w:val="20"/>
        </w:rPr>
        <w:t>wyni</w:t>
      </w:r>
      <w:r w:rsidR="00A21A57">
        <w:rPr>
          <w:b/>
          <w:bCs/>
          <w:color w:val="000000"/>
          <w:sz w:val="20"/>
          <w:szCs w:val="20"/>
        </w:rPr>
        <w:t>osła</w:t>
      </w:r>
      <w:r w:rsidRPr="001E1FED">
        <w:rPr>
          <w:b/>
          <w:bCs/>
          <w:color w:val="000000"/>
          <w:sz w:val="20"/>
          <w:szCs w:val="20"/>
        </w:rPr>
        <w:t xml:space="preserve"> 140 mln EUR. Łącznie w pierwszej połowie 2026 roku </w:t>
      </w:r>
      <w:r w:rsidR="00A21A57">
        <w:rPr>
          <w:b/>
          <w:bCs/>
          <w:color w:val="000000"/>
          <w:sz w:val="20"/>
          <w:szCs w:val="20"/>
        </w:rPr>
        <w:t>inwestycje</w:t>
      </w:r>
      <w:r w:rsidRPr="001E1FED">
        <w:rPr>
          <w:b/>
          <w:bCs/>
          <w:color w:val="000000"/>
          <w:sz w:val="20"/>
          <w:szCs w:val="20"/>
        </w:rPr>
        <w:t xml:space="preserve"> w sektorze handlowym przekroczył</w:t>
      </w:r>
      <w:r w:rsidR="00A21A57">
        <w:rPr>
          <w:b/>
          <w:bCs/>
          <w:color w:val="000000"/>
          <w:sz w:val="20"/>
          <w:szCs w:val="20"/>
        </w:rPr>
        <w:t>y</w:t>
      </w:r>
      <w:r w:rsidRPr="001E1FED">
        <w:rPr>
          <w:b/>
          <w:bCs/>
          <w:color w:val="000000"/>
          <w:sz w:val="20"/>
          <w:szCs w:val="20"/>
        </w:rPr>
        <w:t xml:space="preserve"> 1 mld EUR, co było najwyższym wynikiem spośród wszystkich segmentów rynku nieruchomości.</w:t>
      </w:r>
    </w:p>
    <w:p w14:paraId="20F4F468" w14:textId="77777777" w:rsidR="001E1FED" w:rsidRDefault="001E1FED" w:rsidP="001E1F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0"/>
          <w:szCs w:val="20"/>
        </w:rPr>
      </w:pPr>
    </w:p>
    <w:p w14:paraId="3BB868FF" w14:textId="736C6687" w:rsidR="001E1FED" w:rsidRDefault="001E1FED" w:rsidP="001E1F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0"/>
          <w:szCs w:val="20"/>
        </w:rPr>
      </w:pPr>
      <w:r w:rsidRPr="001E1FED">
        <w:rPr>
          <w:color w:val="000000"/>
          <w:sz w:val="20"/>
          <w:szCs w:val="20"/>
        </w:rPr>
        <w:t>Pod względem liczby transakcji dominowały parki handlowe, które stanowiły połowę wszystkich umów zawartych w drugim kwartale. Sfinalizowano również trzy transakcje dotyczące centrów handlowych oraz dwie obejmujące pojedyncze sklepy.</w:t>
      </w:r>
      <w:r>
        <w:rPr>
          <w:color w:val="000000"/>
          <w:sz w:val="20"/>
          <w:szCs w:val="20"/>
        </w:rPr>
        <w:t xml:space="preserve"> </w:t>
      </w:r>
      <w:r w:rsidRPr="001E1FED">
        <w:rPr>
          <w:color w:val="000000"/>
          <w:sz w:val="20"/>
          <w:szCs w:val="20"/>
        </w:rPr>
        <w:t xml:space="preserve">Sektor handlowy odpowiadał </w:t>
      </w:r>
      <w:r>
        <w:rPr>
          <w:color w:val="000000"/>
          <w:sz w:val="20"/>
          <w:szCs w:val="20"/>
        </w:rPr>
        <w:t xml:space="preserve">tym samym </w:t>
      </w:r>
      <w:r w:rsidRPr="001E1FED">
        <w:rPr>
          <w:color w:val="000000"/>
          <w:sz w:val="20"/>
          <w:szCs w:val="20"/>
        </w:rPr>
        <w:t xml:space="preserve">za 36% </w:t>
      </w:r>
      <w:r w:rsidR="00A21A57">
        <w:rPr>
          <w:color w:val="000000"/>
          <w:sz w:val="20"/>
          <w:szCs w:val="20"/>
        </w:rPr>
        <w:t>wartości</w:t>
      </w:r>
      <w:r w:rsidRPr="001E1FED">
        <w:rPr>
          <w:color w:val="000000"/>
          <w:sz w:val="20"/>
          <w:szCs w:val="20"/>
        </w:rPr>
        <w:t xml:space="preserve"> </w:t>
      </w:r>
      <w:r w:rsidR="00242E33" w:rsidRPr="001E1FED">
        <w:rPr>
          <w:color w:val="000000"/>
          <w:sz w:val="20"/>
          <w:szCs w:val="20"/>
        </w:rPr>
        <w:t>inwestycji</w:t>
      </w:r>
      <w:r w:rsidRPr="001E1FED">
        <w:rPr>
          <w:color w:val="000000"/>
          <w:sz w:val="20"/>
          <w:szCs w:val="20"/>
        </w:rPr>
        <w:t xml:space="preserve"> w drugim kwartale. Dla porównania udział sektora mieszkaniowego wyniósł 29%, logistycznego 17%, a biurowego 16%.</w:t>
      </w:r>
      <w:r>
        <w:rPr>
          <w:color w:val="000000"/>
          <w:sz w:val="20"/>
          <w:szCs w:val="20"/>
        </w:rPr>
        <w:t xml:space="preserve"> </w:t>
      </w:r>
      <w:r w:rsidRPr="001E1FED">
        <w:rPr>
          <w:color w:val="000000"/>
          <w:sz w:val="20"/>
          <w:szCs w:val="20"/>
        </w:rPr>
        <w:t xml:space="preserve">W całym pierwszym półroczu udział sektora handlowego </w:t>
      </w:r>
      <w:r>
        <w:rPr>
          <w:color w:val="000000"/>
          <w:sz w:val="20"/>
          <w:szCs w:val="20"/>
        </w:rPr>
        <w:t>również był dominujący i</w:t>
      </w:r>
      <w:r w:rsidRPr="001E1FED">
        <w:rPr>
          <w:color w:val="000000"/>
          <w:sz w:val="20"/>
          <w:szCs w:val="20"/>
        </w:rPr>
        <w:t xml:space="preserve"> wyniósł około 3</w:t>
      </w:r>
      <w:r w:rsidR="007E3F3F">
        <w:rPr>
          <w:color w:val="000000"/>
          <w:sz w:val="20"/>
          <w:szCs w:val="20"/>
        </w:rPr>
        <w:t>3</w:t>
      </w:r>
      <w:r w:rsidRPr="001E1FED">
        <w:rPr>
          <w:color w:val="000000"/>
          <w:sz w:val="20"/>
          <w:szCs w:val="20"/>
        </w:rPr>
        <w:t>%</w:t>
      </w:r>
      <w:r w:rsidR="00A21A57">
        <w:rPr>
          <w:color w:val="000000"/>
          <w:sz w:val="20"/>
          <w:szCs w:val="20"/>
        </w:rPr>
        <w:t>.</w:t>
      </w:r>
    </w:p>
    <w:p w14:paraId="20C3536F" w14:textId="77777777" w:rsidR="001E1FED" w:rsidRPr="001E1FED" w:rsidRDefault="001E1FED" w:rsidP="001E1F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0"/>
          <w:szCs w:val="20"/>
        </w:rPr>
      </w:pPr>
    </w:p>
    <w:p w14:paraId="31A071DD" w14:textId="0B3FA343" w:rsidR="001E1FED" w:rsidRDefault="001E1FED" w:rsidP="001E1F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0"/>
          <w:szCs w:val="20"/>
        </w:rPr>
      </w:pPr>
      <w:r w:rsidRPr="001E1FED">
        <w:rPr>
          <w:color w:val="000000"/>
          <w:sz w:val="20"/>
          <w:szCs w:val="20"/>
        </w:rPr>
        <w:t xml:space="preserve">Największą transakcją kwartału było przejęcie przez czeski fundusz </w:t>
      </w:r>
      <w:proofErr w:type="spellStart"/>
      <w:r w:rsidRPr="001E1FED">
        <w:rPr>
          <w:color w:val="000000"/>
          <w:sz w:val="20"/>
          <w:szCs w:val="20"/>
        </w:rPr>
        <w:t>Trigea</w:t>
      </w:r>
      <w:proofErr w:type="spellEnd"/>
      <w:r w:rsidRPr="001E1FED">
        <w:rPr>
          <w:color w:val="000000"/>
          <w:sz w:val="20"/>
          <w:szCs w:val="20"/>
        </w:rPr>
        <w:t xml:space="preserve"> Real </w:t>
      </w:r>
      <w:proofErr w:type="spellStart"/>
      <w:r w:rsidRPr="001E1FED">
        <w:rPr>
          <w:color w:val="000000"/>
          <w:sz w:val="20"/>
          <w:szCs w:val="20"/>
        </w:rPr>
        <w:t>Estate</w:t>
      </w:r>
      <w:proofErr w:type="spellEnd"/>
      <w:r w:rsidRPr="001E1FED">
        <w:rPr>
          <w:color w:val="000000"/>
          <w:sz w:val="20"/>
          <w:szCs w:val="20"/>
        </w:rPr>
        <w:t xml:space="preserve"> Fund części udziałów w </w:t>
      </w:r>
      <w:proofErr w:type="spellStart"/>
      <w:r w:rsidRPr="001E1FED">
        <w:rPr>
          <w:color w:val="000000"/>
          <w:sz w:val="20"/>
          <w:szCs w:val="20"/>
        </w:rPr>
        <w:t>Posnanii</w:t>
      </w:r>
      <w:proofErr w:type="spellEnd"/>
      <w:r w:rsidRPr="001E1FED">
        <w:rPr>
          <w:color w:val="000000"/>
          <w:sz w:val="20"/>
          <w:szCs w:val="20"/>
        </w:rPr>
        <w:t xml:space="preserve"> – największym</w:t>
      </w:r>
      <w:r w:rsidR="00A21A57">
        <w:rPr>
          <w:color w:val="000000"/>
          <w:sz w:val="20"/>
          <w:szCs w:val="20"/>
        </w:rPr>
        <w:t>, bo oferującym ponad</w:t>
      </w:r>
      <w:r w:rsidRPr="001E1FED">
        <w:rPr>
          <w:color w:val="000000"/>
          <w:sz w:val="20"/>
          <w:szCs w:val="20"/>
        </w:rPr>
        <w:t xml:space="preserve"> </w:t>
      </w:r>
      <w:r w:rsidR="00A21A57" w:rsidRPr="001E1FED">
        <w:rPr>
          <w:color w:val="000000"/>
          <w:sz w:val="20"/>
          <w:szCs w:val="20"/>
        </w:rPr>
        <w:t>100 tys. mkw. powierzchni</w:t>
      </w:r>
      <w:r w:rsidR="00A21A57">
        <w:rPr>
          <w:color w:val="000000"/>
          <w:sz w:val="20"/>
          <w:szCs w:val="20"/>
        </w:rPr>
        <w:t>,</w:t>
      </w:r>
      <w:r w:rsidR="00A21A57" w:rsidRPr="001E1FED">
        <w:rPr>
          <w:color w:val="000000"/>
          <w:sz w:val="20"/>
          <w:szCs w:val="20"/>
        </w:rPr>
        <w:t xml:space="preserve"> </w:t>
      </w:r>
      <w:r w:rsidRPr="001E1FED">
        <w:rPr>
          <w:color w:val="000000"/>
          <w:sz w:val="20"/>
          <w:szCs w:val="20"/>
        </w:rPr>
        <w:t xml:space="preserve">centrum handlowym w Poznaniu, należącym do </w:t>
      </w:r>
      <w:proofErr w:type="spellStart"/>
      <w:r w:rsidRPr="001E1FED">
        <w:rPr>
          <w:color w:val="000000"/>
          <w:sz w:val="20"/>
          <w:szCs w:val="20"/>
        </w:rPr>
        <w:t>Apsys</w:t>
      </w:r>
      <w:proofErr w:type="spellEnd"/>
      <w:r w:rsidR="00242E33">
        <w:rPr>
          <w:color w:val="000000"/>
          <w:sz w:val="20"/>
          <w:szCs w:val="20"/>
        </w:rPr>
        <w:t xml:space="preserve">. </w:t>
      </w:r>
      <w:r w:rsidRPr="001E1FED">
        <w:rPr>
          <w:color w:val="000000"/>
          <w:sz w:val="20"/>
          <w:szCs w:val="20"/>
        </w:rPr>
        <w:t xml:space="preserve">Drugą największą transakcją był zakup za 110 mln EUR portfela sześciu parków handlowych należących do TREI Real </w:t>
      </w:r>
      <w:proofErr w:type="spellStart"/>
      <w:r w:rsidRPr="001E1FED">
        <w:rPr>
          <w:color w:val="000000"/>
          <w:sz w:val="20"/>
          <w:szCs w:val="20"/>
        </w:rPr>
        <w:t>Estate</w:t>
      </w:r>
      <w:proofErr w:type="spellEnd"/>
      <w:r w:rsidRPr="001E1FED">
        <w:rPr>
          <w:color w:val="000000"/>
          <w:sz w:val="20"/>
          <w:szCs w:val="20"/>
        </w:rPr>
        <w:t xml:space="preserve"> i Patron Capital. Portfel o łącznej powierzchni 68 tys. mkw. został nabyty przez joint venture Generali </w:t>
      </w:r>
      <w:proofErr w:type="spellStart"/>
      <w:r w:rsidRPr="001E1FED">
        <w:rPr>
          <w:color w:val="000000"/>
          <w:sz w:val="20"/>
          <w:szCs w:val="20"/>
        </w:rPr>
        <w:t>Investments</w:t>
      </w:r>
      <w:proofErr w:type="spellEnd"/>
      <w:r w:rsidRPr="001E1FED">
        <w:rPr>
          <w:color w:val="000000"/>
          <w:sz w:val="20"/>
          <w:szCs w:val="20"/>
        </w:rPr>
        <w:t xml:space="preserve"> i Star Capital Finance. Była to pierwsza inwestycja obu podmiotów w segment parków handlowych.</w:t>
      </w:r>
    </w:p>
    <w:p w14:paraId="54BFB283" w14:textId="77777777" w:rsidR="001E1FED" w:rsidRPr="001E1FED" w:rsidRDefault="001E1FED" w:rsidP="001E1F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0"/>
          <w:szCs w:val="20"/>
        </w:rPr>
      </w:pPr>
    </w:p>
    <w:p w14:paraId="733D008D" w14:textId="60E8FF57" w:rsidR="001E1FED" w:rsidRPr="001E1FED" w:rsidRDefault="00A21A57" w:rsidP="001E1F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–</w:t>
      </w:r>
      <w:r w:rsidR="001E1FED">
        <w:rPr>
          <w:color w:val="000000"/>
          <w:sz w:val="20"/>
          <w:szCs w:val="20"/>
        </w:rPr>
        <w:t xml:space="preserve"> </w:t>
      </w:r>
      <w:r w:rsidR="001E1FED" w:rsidRPr="001E1FED">
        <w:rPr>
          <w:i/>
          <w:iCs/>
          <w:color w:val="000000"/>
          <w:sz w:val="20"/>
          <w:szCs w:val="20"/>
        </w:rPr>
        <w:t>Po kilku latach ostrożniejszego podejścia inwestorów obserwujemy wyraźny powrót zainteresowania najlepszymi centrami handlowymi, przy jednoczesnym utrzymaniu wysokiej aktywności w segmencie parków handlowych. Wynik przekraczający 1 mld EUR już po pierwszym półroczu potwierdza atrakcyjność polskich aktywów handlowych. Na uwagę zasługuje także rosnąca aktywność kapitału z Europy Środkowo-Wschodniej – czescy inwestorzy uczestniczyli w sześciu transakcjach sfinalizowanych w drugim kwartale. Przy utrzymaniu obecnego tempa aktywności całoroczn</w:t>
      </w:r>
      <w:r>
        <w:rPr>
          <w:i/>
          <w:iCs/>
          <w:color w:val="000000"/>
          <w:sz w:val="20"/>
          <w:szCs w:val="20"/>
        </w:rPr>
        <w:t>a</w:t>
      </w:r>
      <w:r w:rsidR="001E1FED" w:rsidRPr="001E1FED">
        <w:rPr>
          <w:i/>
          <w:iCs/>
          <w:color w:val="000000"/>
          <w:sz w:val="20"/>
          <w:szCs w:val="20"/>
        </w:rPr>
        <w:t xml:space="preserve"> </w:t>
      </w:r>
      <w:r>
        <w:rPr>
          <w:i/>
          <w:iCs/>
          <w:color w:val="000000"/>
          <w:sz w:val="20"/>
          <w:szCs w:val="20"/>
        </w:rPr>
        <w:t>wartość</w:t>
      </w:r>
      <w:r w:rsidR="001E1FED" w:rsidRPr="001E1FED">
        <w:rPr>
          <w:i/>
          <w:iCs/>
          <w:color w:val="000000"/>
          <w:sz w:val="20"/>
          <w:szCs w:val="20"/>
        </w:rPr>
        <w:t xml:space="preserve"> może zbliżyć się do najlepszych wyników z ostatnich 5</w:t>
      </w:r>
      <w:r>
        <w:rPr>
          <w:i/>
          <w:iCs/>
          <w:color w:val="000000"/>
          <w:sz w:val="20"/>
          <w:szCs w:val="20"/>
        </w:rPr>
        <w:t>-</w:t>
      </w:r>
      <w:r w:rsidR="001E1FED" w:rsidRPr="001E1FED">
        <w:rPr>
          <w:i/>
          <w:iCs/>
          <w:color w:val="000000"/>
          <w:sz w:val="20"/>
          <w:szCs w:val="20"/>
        </w:rPr>
        <w:t>7 lat</w:t>
      </w:r>
      <w:r w:rsidR="001E1FED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–</w:t>
      </w:r>
      <w:r w:rsidR="001E1FED">
        <w:rPr>
          <w:color w:val="000000"/>
          <w:sz w:val="20"/>
          <w:szCs w:val="20"/>
        </w:rPr>
        <w:t xml:space="preserve"> </w:t>
      </w:r>
      <w:r w:rsidR="001E1FED" w:rsidRPr="001E1FED">
        <w:rPr>
          <w:color w:val="000000"/>
          <w:sz w:val="20"/>
          <w:szCs w:val="20"/>
        </w:rPr>
        <w:t xml:space="preserve">komentuje </w:t>
      </w:r>
      <w:r w:rsidR="001E1FED" w:rsidRPr="001E1FED">
        <w:rPr>
          <w:b/>
          <w:bCs/>
          <w:color w:val="000000"/>
          <w:sz w:val="20"/>
          <w:szCs w:val="20"/>
        </w:rPr>
        <w:t xml:space="preserve">Aleksandra Włodarczyk, </w:t>
      </w:r>
      <w:proofErr w:type="spellStart"/>
      <w:r w:rsidR="001E1FED" w:rsidRPr="001E1FED">
        <w:rPr>
          <w:b/>
          <w:bCs/>
          <w:color w:val="000000"/>
          <w:sz w:val="20"/>
          <w:szCs w:val="20"/>
        </w:rPr>
        <w:t>Associate</w:t>
      </w:r>
      <w:proofErr w:type="spellEnd"/>
      <w:r w:rsidR="001E1FED" w:rsidRPr="001E1FED">
        <w:rPr>
          <w:b/>
          <w:bCs/>
          <w:color w:val="000000"/>
          <w:sz w:val="20"/>
          <w:szCs w:val="20"/>
        </w:rPr>
        <w:t xml:space="preserve">, Capital </w:t>
      </w:r>
      <w:proofErr w:type="spellStart"/>
      <w:r w:rsidR="001E1FED" w:rsidRPr="001E1FED">
        <w:rPr>
          <w:b/>
          <w:bCs/>
          <w:color w:val="000000"/>
          <w:sz w:val="20"/>
          <w:szCs w:val="20"/>
        </w:rPr>
        <w:t>Markets</w:t>
      </w:r>
      <w:proofErr w:type="spellEnd"/>
      <w:r w:rsidR="001E1FED" w:rsidRPr="001E1FED">
        <w:rPr>
          <w:b/>
          <w:bCs/>
          <w:color w:val="000000"/>
          <w:sz w:val="20"/>
          <w:szCs w:val="20"/>
        </w:rPr>
        <w:t>, Cushman &amp; Wakefield.</w:t>
      </w:r>
    </w:p>
    <w:p w14:paraId="569D9BDD" w14:textId="77777777" w:rsidR="001E1FED" w:rsidRDefault="001E1FED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</w:p>
    <w:p w14:paraId="522F4C5D" w14:textId="77777777" w:rsidR="001E1FED" w:rsidRDefault="001E1FED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</w:p>
    <w:p w14:paraId="12BE0AC4" w14:textId="77777777" w:rsidR="001E1FED" w:rsidRPr="001E600B" w:rsidRDefault="001E1FED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16"/>
          <w:szCs w:val="16"/>
        </w:rPr>
      </w:pPr>
    </w:p>
    <w:p w14:paraId="0A5A1FB4" w14:textId="6420BF32" w:rsidR="0001791C" w:rsidRDefault="00000000" w:rsidP="009B42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 xml:space="preserve">O Cushman &amp; Wakefield </w:t>
      </w:r>
    </w:p>
    <w:p w14:paraId="3E7EF70F" w14:textId="77777777" w:rsidR="000179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" w:line="234" w:lineRule="auto"/>
        <w:ind w:left="12" w:right="4" w:firstLine="4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Cushman &amp; Wakefield (NYSE: CWK) jest wiodącą na świecie firmą świadczącą usługi na rzecz właścicieli i najemców nieruchomości komercyjnych. Zatrudnia ok. 52 tys. pracowników w niemal 400 biurach i 60 krajach na całym świecie. W 2024 roku jej przychody wyniosły 9,4 mld USD. Do najważniejszych usług świadczonych przez firmę należą m.in. zarządzanie nieruchomościami, obiektami i projektami, pośrednictwo w wynajmie powierzchni, obsługa transakcji na rynkach kapitałowych oraz wyceny. Za nieustanne dążenie do doskonałości zgodnie z zasadą </w:t>
      </w:r>
      <w:proofErr w:type="spellStart"/>
      <w:r>
        <w:rPr>
          <w:color w:val="000000"/>
          <w:sz w:val="16"/>
          <w:szCs w:val="16"/>
        </w:rPr>
        <w:t>Better</w:t>
      </w:r>
      <w:proofErr w:type="spellEnd"/>
      <w:r>
        <w:rPr>
          <w:color w:val="000000"/>
          <w:sz w:val="16"/>
          <w:szCs w:val="16"/>
        </w:rPr>
        <w:t xml:space="preserve"> </w:t>
      </w:r>
      <w:proofErr w:type="spellStart"/>
      <w:r>
        <w:rPr>
          <w:color w:val="000000"/>
          <w:sz w:val="16"/>
          <w:szCs w:val="16"/>
        </w:rPr>
        <w:t>never</w:t>
      </w:r>
      <w:proofErr w:type="spellEnd"/>
      <w:r>
        <w:rPr>
          <w:color w:val="000000"/>
          <w:sz w:val="16"/>
          <w:szCs w:val="16"/>
        </w:rPr>
        <w:t xml:space="preserve"> </w:t>
      </w:r>
      <w:proofErr w:type="spellStart"/>
      <w:r>
        <w:rPr>
          <w:color w:val="000000"/>
          <w:sz w:val="16"/>
          <w:szCs w:val="16"/>
        </w:rPr>
        <w:t>settles</w:t>
      </w:r>
      <w:proofErr w:type="spellEnd"/>
      <w:r>
        <w:rPr>
          <w:color w:val="000000"/>
          <w:sz w:val="16"/>
          <w:szCs w:val="16"/>
        </w:rPr>
        <w:t xml:space="preserve"> Cushman &amp; Wakefield otrzymuje wiele wyróżnień oraz nagród w konkursach branżowych i biznesowych. Dodatkowe informacje na stronie www.cushmanwakefield.com. </w:t>
      </w:r>
    </w:p>
    <w:p w14:paraId="27D8DCE8" w14:textId="77777777" w:rsidR="000179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 w:line="240" w:lineRule="auto"/>
        <w:jc w:val="center"/>
        <w:rPr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- </w:t>
      </w:r>
      <w:r>
        <w:rPr>
          <w:b/>
          <w:bCs/>
          <w:color w:val="000000"/>
          <w:sz w:val="16"/>
          <w:szCs w:val="16"/>
        </w:rPr>
        <w:t>KONIEC -</w:t>
      </w:r>
    </w:p>
    <w:sectPr w:rsidR="0001791C" w:rsidSect="009B4210">
      <w:headerReference w:type="default" r:id="rId6"/>
      <w:footerReference w:type="default" r:id="rId7"/>
      <w:pgSz w:w="11900" w:h="16820"/>
      <w:pgMar w:top="1555" w:right="950" w:bottom="763" w:left="1215" w:header="0" w:footer="19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4D69A" w14:textId="77777777" w:rsidR="004458C4" w:rsidRDefault="004458C4" w:rsidP="009B4210">
      <w:pPr>
        <w:spacing w:line="240" w:lineRule="auto"/>
      </w:pPr>
      <w:r>
        <w:separator/>
      </w:r>
    </w:p>
  </w:endnote>
  <w:endnote w:type="continuationSeparator" w:id="0">
    <w:p w14:paraId="16D19FCA" w14:textId="77777777" w:rsidR="004458C4" w:rsidRDefault="004458C4" w:rsidP="009B42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CF2BE2C7-A48A-4AAD-8005-9906BA80D7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9BFFF43-F78A-4704-8DE0-51825B6903E0}"/>
    <w:embedBold r:id="rId3" w:fontKey="{1DD1EF84-9FA8-4454-8182-FEEA92501BA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0F32CBB-F619-4C20-A0BB-46A1905C34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69BF4" w14:textId="77777777" w:rsidR="009B4210" w:rsidRPr="00A93C87" w:rsidRDefault="009B4210" w:rsidP="009B4210">
    <w:pPr>
      <w:widowControl w:val="0"/>
      <w:pBdr>
        <w:top w:val="nil"/>
        <w:left w:val="nil"/>
        <w:bottom w:val="nil"/>
        <w:right w:val="nil"/>
        <w:between w:val="nil"/>
      </w:pBdr>
      <w:spacing w:before="675" w:line="240" w:lineRule="auto"/>
      <w:ind w:left="263"/>
      <w:rPr>
        <w:rFonts w:ascii="Calibri" w:eastAsia="Calibri" w:hAnsi="Calibri" w:cs="Calibri"/>
        <w:b/>
        <w:bCs/>
        <w:color w:val="696B6B"/>
        <w:sz w:val="18"/>
        <w:szCs w:val="18"/>
        <w:lang w:val="en-US"/>
      </w:rPr>
    </w:pPr>
    <w:r w:rsidRPr="00A93C87">
      <w:rPr>
        <w:rFonts w:ascii="Calibri" w:eastAsia="Calibri" w:hAnsi="Calibri" w:cs="Calibri"/>
        <w:b/>
        <w:bCs/>
        <w:color w:val="696B6B"/>
        <w:sz w:val="18"/>
        <w:szCs w:val="18"/>
        <w:lang w:val="en-US"/>
      </w:rPr>
      <w:t>Karolina Samczyńska-</w:t>
    </w:r>
    <w:proofErr w:type="spellStart"/>
    <w:r w:rsidRPr="00A93C87">
      <w:rPr>
        <w:rFonts w:ascii="Calibri" w:eastAsia="Calibri" w:hAnsi="Calibri" w:cs="Calibri"/>
        <w:b/>
        <w:bCs/>
        <w:color w:val="696B6B"/>
        <w:sz w:val="18"/>
        <w:szCs w:val="18"/>
        <w:lang w:val="en-US"/>
      </w:rPr>
      <w:t>Fiślak</w:t>
    </w:r>
    <w:proofErr w:type="spellEnd"/>
    <w:r w:rsidRPr="00A93C87">
      <w:rPr>
        <w:rFonts w:ascii="Calibri" w:eastAsia="Calibri" w:hAnsi="Calibri" w:cs="Calibri"/>
        <w:b/>
        <w:bCs/>
        <w:color w:val="696B6B"/>
        <w:sz w:val="18"/>
        <w:szCs w:val="18"/>
        <w:lang w:val="en-US"/>
      </w:rPr>
      <w:t xml:space="preserve"> </w:t>
    </w:r>
  </w:p>
  <w:p w14:paraId="0269C52C" w14:textId="77777777" w:rsidR="009B4210" w:rsidRPr="00A93C87" w:rsidRDefault="009B4210" w:rsidP="009B4210">
    <w:pPr>
      <w:widowControl w:val="0"/>
      <w:pBdr>
        <w:top w:val="nil"/>
        <w:left w:val="nil"/>
        <w:bottom w:val="nil"/>
        <w:right w:val="nil"/>
        <w:between w:val="nil"/>
      </w:pBdr>
      <w:spacing w:before="8" w:line="240" w:lineRule="auto"/>
      <w:ind w:left="259"/>
      <w:rPr>
        <w:rFonts w:ascii="Calibri" w:eastAsia="Calibri" w:hAnsi="Calibri" w:cs="Calibri"/>
        <w:color w:val="696B6B"/>
        <w:sz w:val="18"/>
        <w:szCs w:val="18"/>
        <w:lang w:val="en-US"/>
      </w:rPr>
    </w:pPr>
    <w:r w:rsidRPr="00A93C87">
      <w:rPr>
        <w:rFonts w:ascii="Calibri" w:eastAsia="Calibri" w:hAnsi="Calibri" w:cs="Calibri"/>
        <w:color w:val="696B6B"/>
        <w:sz w:val="18"/>
        <w:szCs w:val="18"/>
        <w:lang w:val="en-US"/>
      </w:rPr>
      <w:t>Cushman &amp; Wakefield</w:t>
    </w:r>
  </w:p>
  <w:p w14:paraId="2EBDE12F" w14:textId="77777777" w:rsidR="009B4210" w:rsidRPr="00A93C87" w:rsidRDefault="009B4210" w:rsidP="009B4210">
    <w:pPr>
      <w:widowControl w:val="0"/>
      <w:pBdr>
        <w:top w:val="nil"/>
        <w:left w:val="nil"/>
        <w:bottom w:val="nil"/>
        <w:right w:val="nil"/>
        <w:between w:val="nil"/>
      </w:pBdr>
      <w:spacing w:before="10" w:line="240" w:lineRule="auto"/>
      <w:ind w:left="252"/>
      <w:rPr>
        <w:rFonts w:ascii="Calibri" w:eastAsia="Calibri" w:hAnsi="Calibri" w:cs="Calibri"/>
        <w:color w:val="696B6B"/>
        <w:sz w:val="18"/>
        <w:szCs w:val="18"/>
        <w:lang w:val="en-US"/>
      </w:rPr>
    </w:pPr>
    <w:r w:rsidRPr="00A93C87">
      <w:rPr>
        <w:rFonts w:ascii="Calibri" w:eastAsia="Calibri" w:hAnsi="Calibri" w:cs="Calibri"/>
        <w:color w:val="696B6B"/>
        <w:sz w:val="18"/>
        <w:szCs w:val="18"/>
        <w:lang w:val="en-US"/>
      </w:rPr>
      <w:t xml:space="preserve">Tel: + 48 22 820 20 20; 691 060 202 </w:t>
    </w:r>
  </w:p>
  <w:p w14:paraId="45748465" w14:textId="77777777" w:rsidR="009B4210" w:rsidRPr="00A93C87" w:rsidRDefault="009B4210" w:rsidP="009B4210">
    <w:pPr>
      <w:widowControl w:val="0"/>
      <w:pBdr>
        <w:top w:val="nil"/>
        <w:left w:val="nil"/>
        <w:bottom w:val="nil"/>
        <w:right w:val="nil"/>
        <w:between w:val="nil"/>
      </w:pBdr>
      <w:spacing w:before="8" w:line="240" w:lineRule="auto"/>
      <w:ind w:left="257"/>
      <w:rPr>
        <w:rFonts w:ascii="Calibri" w:eastAsia="Calibri" w:hAnsi="Calibri" w:cs="Calibri"/>
        <w:b/>
        <w:bCs/>
        <w:color w:val="696B6B"/>
        <w:sz w:val="18"/>
        <w:szCs w:val="18"/>
        <w:lang w:val="en-US"/>
      </w:rPr>
    </w:pPr>
    <w:r w:rsidRPr="00A93C87">
      <w:rPr>
        <w:rFonts w:ascii="Calibri" w:eastAsia="Calibri" w:hAnsi="Calibri" w:cs="Calibri"/>
        <w:b/>
        <w:bCs/>
        <w:color w:val="696B6B"/>
        <w:sz w:val="18"/>
        <w:szCs w:val="18"/>
        <w:lang w:val="en-US"/>
      </w:rPr>
      <w:t xml:space="preserve">e-mail: Karolina.samczynska@cushwake.com </w:t>
    </w:r>
  </w:p>
  <w:p w14:paraId="14752AAB" w14:textId="77777777" w:rsidR="009B4210" w:rsidRPr="00A93C87" w:rsidRDefault="009B4210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5B190F" w14:textId="77777777" w:rsidR="004458C4" w:rsidRDefault="004458C4" w:rsidP="009B4210">
      <w:pPr>
        <w:spacing w:line="240" w:lineRule="auto"/>
      </w:pPr>
      <w:r>
        <w:separator/>
      </w:r>
    </w:p>
  </w:footnote>
  <w:footnote w:type="continuationSeparator" w:id="0">
    <w:p w14:paraId="0909EF50" w14:textId="77777777" w:rsidR="004458C4" w:rsidRDefault="004458C4" w:rsidP="009B42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98E04" w14:textId="3BFB840E" w:rsidR="009B4210" w:rsidRDefault="009B4210">
    <w:pPr>
      <w:pStyle w:val="Nagwek"/>
    </w:pPr>
    <w:r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3B05D23F" wp14:editId="5806C29F">
          <wp:simplePos x="0" y="0"/>
          <wp:positionH relativeFrom="column">
            <wp:posOffset>0</wp:posOffset>
          </wp:positionH>
          <wp:positionV relativeFrom="paragraph">
            <wp:posOffset>292100</wp:posOffset>
          </wp:positionV>
          <wp:extent cx="1701165" cy="321945"/>
          <wp:effectExtent l="0" t="0" r="635" b="0"/>
          <wp:wrapSquare wrapText="bothSides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1165" cy="321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91C"/>
    <w:rsid w:val="0001791C"/>
    <w:rsid w:val="00080EDF"/>
    <w:rsid w:val="000866FD"/>
    <w:rsid w:val="000D0BF9"/>
    <w:rsid w:val="001043F9"/>
    <w:rsid w:val="001E1FED"/>
    <w:rsid w:val="001E600B"/>
    <w:rsid w:val="00216646"/>
    <w:rsid w:val="00242E33"/>
    <w:rsid w:val="00391C79"/>
    <w:rsid w:val="003D299E"/>
    <w:rsid w:val="003F60F6"/>
    <w:rsid w:val="003F6879"/>
    <w:rsid w:val="004458C4"/>
    <w:rsid w:val="00540CA4"/>
    <w:rsid w:val="00675BAD"/>
    <w:rsid w:val="00730652"/>
    <w:rsid w:val="007420F8"/>
    <w:rsid w:val="007E3F3F"/>
    <w:rsid w:val="00861677"/>
    <w:rsid w:val="008929EE"/>
    <w:rsid w:val="0089677C"/>
    <w:rsid w:val="008A3D98"/>
    <w:rsid w:val="008E688B"/>
    <w:rsid w:val="0090554C"/>
    <w:rsid w:val="00934E15"/>
    <w:rsid w:val="009B4210"/>
    <w:rsid w:val="00A21A57"/>
    <w:rsid w:val="00A36D5B"/>
    <w:rsid w:val="00A93C87"/>
    <w:rsid w:val="00AC38BA"/>
    <w:rsid w:val="00B33AC0"/>
    <w:rsid w:val="00B6089F"/>
    <w:rsid w:val="00BF461B"/>
    <w:rsid w:val="00D12461"/>
    <w:rsid w:val="00EF2722"/>
    <w:rsid w:val="00F05602"/>
    <w:rsid w:val="00F41716"/>
    <w:rsid w:val="00F6705D"/>
    <w:rsid w:val="00FE4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E062B"/>
  <w15:docId w15:val="{7ABE472A-C5E1-1B47-9816-8E194501D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oprawka">
    <w:name w:val="Revision"/>
    <w:hidden/>
    <w:uiPriority w:val="99"/>
    <w:semiHidden/>
    <w:rsid w:val="000D0BF9"/>
    <w:pPr>
      <w:spacing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9B4210"/>
    <w:pPr>
      <w:tabs>
        <w:tab w:val="center" w:pos="4513"/>
        <w:tab w:val="right" w:pos="9026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4210"/>
  </w:style>
  <w:style w:type="paragraph" w:styleId="Stopka">
    <w:name w:val="footer"/>
    <w:basedOn w:val="Normalny"/>
    <w:link w:val="StopkaZnak"/>
    <w:uiPriority w:val="99"/>
    <w:unhideWhenUsed/>
    <w:rsid w:val="009B4210"/>
    <w:pPr>
      <w:tabs>
        <w:tab w:val="center" w:pos="4513"/>
        <w:tab w:val="right" w:pos="9026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4210"/>
  </w:style>
  <w:style w:type="paragraph" w:styleId="NormalnyWeb">
    <w:name w:val="Normal (Web)"/>
    <w:basedOn w:val="Normalny"/>
    <w:uiPriority w:val="99"/>
    <w:semiHidden/>
    <w:unhideWhenUsed/>
    <w:rsid w:val="009B4210"/>
    <w:rPr>
      <w:rFonts w:ascii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43F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043F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043F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43F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043F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1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1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0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455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440</Words>
  <Characters>2642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a.ratajczyk</dc:creator>
  <cp:lastModifiedBy>Link Leaders</cp:lastModifiedBy>
  <cp:revision>2</cp:revision>
  <dcterms:created xsi:type="dcterms:W3CDTF">2026-07-24T08:35:00Z</dcterms:created>
  <dcterms:modified xsi:type="dcterms:W3CDTF">2026-07-24T08:35:00Z</dcterms:modified>
</cp:coreProperties>
</file>