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94A10" w14:textId="77777777" w:rsidR="00F32B1C" w:rsidRPr="00F32B1C" w:rsidRDefault="00F32B1C" w:rsidP="00F32B1C">
      <w:pPr>
        <w:spacing w:after="160" w:line="276" w:lineRule="auto"/>
        <w:rPr>
          <w:rFonts w:ascii="Noto Sans" w:eastAsiaTheme="minorHAnsi" w:hAnsi="Noto Sans" w:cs="Noto Sans"/>
          <w:sz w:val="28"/>
          <w:szCs w:val="28"/>
        </w:rPr>
      </w:pPr>
      <w:r w:rsidRPr="00F32B1C">
        <w:rPr>
          <w:rFonts w:ascii="Noto Sans" w:eastAsiaTheme="minorHAnsi" w:hAnsi="Noto Sans" w:cs="Noto Sans"/>
          <w:b/>
          <w:bCs/>
          <w:sz w:val="28"/>
          <w:szCs w:val="28"/>
        </w:rPr>
        <w:t>Beyond Compliance: Unlocking Value from Traceability in Building and Construction</w:t>
      </w:r>
    </w:p>
    <w:p w14:paraId="49BB1BCF" w14:textId="0541CDF7" w:rsidR="00F32B1C" w:rsidRPr="00F32B1C" w:rsidRDefault="00F32B1C" w:rsidP="00F32B1C">
      <w:pPr>
        <w:spacing w:after="160" w:line="276" w:lineRule="auto"/>
        <w:rPr>
          <w:rFonts w:ascii="Noto Sans" w:eastAsiaTheme="minorHAnsi" w:hAnsi="Noto Sans" w:cs="Noto Sans"/>
          <w:i/>
          <w:iCs/>
          <w:sz w:val="22"/>
        </w:rPr>
      </w:pPr>
      <w:r w:rsidRPr="00F32B1C">
        <w:rPr>
          <w:rFonts w:ascii="Noto Sans" w:eastAsiaTheme="minorHAnsi" w:hAnsi="Noto Sans" w:cs="Noto Sans"/>
          <w:i/>
          <w:iCs/>
          <w:sz w:val="22"/>
        </w:rPr>
        <w:t xml:space="preserve">The construction industry is at a critical turning point. New regulations designed to improve building safety, sustainability, and accountability will demand significantly improved materials traceability from design through to deconstruction. While regulation is driving this change, it is the </w:t>
      </w:r>
      <w:hyperlink r:id="rId6" w:history="1">
        <w:r w:rsidRPr="00F32B1C">
          <w:rPr>
            <w:rFonts w:ascii="Noto Sans" w:eastAsiaTheme="minorHAnsi" w:hAnsi="Noto Sans" w:cs="Noto Sans"/>
            <w:i/>
            <w:iCs/>
            <w:color w:val="0563C1" w:themeColor="hyperlink"/>
            <w:sz w:val="22"/>
            <w:u w:val="single"/>
          </w:rPr>
          <w:t>additional potential benefits to the industry</w:t>
        </w:r>
      </w:hyperlink>
      <w:r w:rsidRPr="00F32B1C">
        <w:rPr>
          <w:rFonts w:ascii="Noto Sans" w:eastAsiaTheme="minorHAnsi" w:hAnsi="Noto Sans" w:cs="Noto Sans"/>
          <w:i/>
          <w:iCs/>
          <w:sz w:val="22"/>
        </w:rPr>
        <w:t xml:space="preserve"> that are compelling. </w:t>
      </w:r>
    </w:p>
    <w:p w14:paraId="2A269F6E" w14:textId="77777777" w:rsidR="00F32B1C" w:rsidRDefault="00F32B1C" w:rsidP="00F32B1C">
      <w:pPr>
        <w:spacing w:after="160" w:line="276" w:lineRule="auto"/>
        <w:rPr>
          <w:rFonts w:ascii="Noto Sans" w:eastAsiaTheme="minorHAnsi" w:hAnsi="Noto Sans" w:cs="Noto Sans"/>
          <w:i/>
          <w:iCs/>
          <w:sz w:val="22"/>
        </w:rPr>
      </w:pPr>
      <w:r w:rsidRPr="00F32B1C">
        <w:rPr>
          <w:rFonts w:ascii="Noto Sans" w:eastAsiaTheme="minorHAnsi" w:hAnsi="Noto Sans" w:cs="Noto Sans"/>
          <w:i/>
          <w:iCs/>
          <w:sz w:val="22"/>
        </w:rPr>
        <w:t>Digital product passports will ensure building and construction products and components are identifiable</w:t>
      </w:r>
      <w:r w:rsidRPr="00F32B1C">
        <w:rPr>
          <w:rFonts w:ascii="Noto Sans" w:eastAsia="Segoe UI" w:hAnsi="Noto Sans" w:cs="Noto Sans"/>
          <w:i/>
          <w:iCs/>
          <w:color w:val="323130"/>
          <w:sz w:val="22"/>
        </w:rPr>
        <w:t xml:space="preserve"> from design, production, construction, and maintenance, right through to deconstruction and recycling. This ‘</w:t>
      </w:r>
      <w:r w:rsidRPr="00F32B1C">
        <w:rPr>
          <w:rFonts w:ascii="Noto Sans" w:eastAsiaTheme="minorHAnsi" w:hAnsi="Noto Sans" w:cs="Noto Sans"/>
          <w:i/>
          <w:iCs/>
          <w:sz w:val="22"/>
        </w:rPr>
        <w:t xml:space="preserve">golden thread’ of information offers the industry far more than regulatory compliance: end-to-end traceability provides the foundation for improved operational efficiency, significant waste reduction, enhanced cost control, and a new level of supply chain collaboration. </w:t>
      </w:r>
    </w:p>
    <w:p w14:paraId="64FA4073" w14:textId="6F8771A3" w:rsidR="00F32B1C" w:rsidRDefault="00F32B1C" w:rsidP="00F32B1C">
      <w:pPr>
        <w:spacing w:line="276" w:lineRule="auto"/>
        <w:rPr>
          <w:rFonts w:ascii="Noto Sans" w:hAnsi="Noto Sans" w:cs="Noto Sans"/>
          <w:i/>
          <w:iCs/>
          <w:sz w:val="22"/>
        </w:rPr>
      </w:pPr>
      <w:r w:rsidRPr="00F32B1C">
        <w:rPr>
          <w:rFonts w:ascii="Noto Sans" w:hAnsi="Noto Sans" w:cs="Noto Sans"/>
          <w:i/>
          <w:iCs/>
          <w:sz w:val="22"/>
        </w:rPr>
        <w:t xml:space="preserve">As Rob Ellinor, Global Building &amp; Construction Sector Manager, </w:t>
      </w:r>
      <w:hyperlink r:id="rId7" w:history="1">
        <w:r w:rsidRPr="00F32B1C">
          <w:rPr>
            <w:rStyle w:val="Hyperlink"/>
            <w:rFonts w:ascii="Noto Sans" w:hAnsi="Noto Sans" w:cs="Noto Sans"/>
            <w:i/>
            <w:iCs/>
            <w:sz w:val="22"/>
          </w:rPr>
          <w:t>Domino</w:t>
        </w:r>
      </w:hyperlink>
      <w:r w:rsidRPr="00F32B1C">
        <w:rPr>
          <w:rFonts w:ascii="Noto Sans" w:hAnsi="Noto Sans" w:cs="Noto Sans"/>
          <w:i/>
          <w:iCs/>
          <w:sz w:val="22"/>
        </w:rPr>
        <w:t xml:space="preserve"> explains.</w:t>
      </w:r>
    </w:p>
    <w:p w14:paraId="630D1F09" w14:textId="77777777" w:rsidR="00F32B1C" w:rsidRDefault="00F32B1C" w:rsidP="00F32B1C">
      <w:pPr>
        <w:spacing w:line="276" w:lineRule="auto"/>
        <w:rPr>
          <w:rFonts w:ascii="Noto Sans" w:eastAsiaTheme="minorHAnsi" w:hAnsi="Noto Sans" w:cs="Noto Sans"/>
          <w:b/>
          <w:bCs/>
          <w:sz w:val="22"/>
        </w:rPr>
      </w:pPr>
    </w:p>
    <w:p w14:paraId="26BF0086" w14:textId="4D05722F" w:rsidR="00F32B1C" w:rsidRPr="00F32B1C" w:rsidRDefault="00F32B1C" w:rsidP="00F32B1C">
      <w:pPr>
        <w:spacing w:after="160" w:line="276" w:lineRule="auto"/>
        <w:rPr>
          <w:rFonts w:ascii="Noto Sans" w:eastAsiaTheme="minorHAnsi" w:hAnsi="Noto Sans" w:cs="Noto Sans"/>
          <w:b/>
          <w:bCs/>
          <w:sz w:val="22"/>
        </w:rPr>
      </w:pPr>
      <w:r w:rsidRPr="00F32B1C">
        <w:rPr>
          <w:rFonts w:ascii="Noto Sans" w:eastAsiaTheme="minorHAnsi" w:hAnsi="Noto Sans" w:cs="Noto Sans"/>
          <w:b/>
          <w:bCs/>
          <w:sz w:val="22"/>
        </w:rPr>
        <w:t xml:space="preserve">Escalating construction compliance </w:t>
      </w:r>
    </w:p>
    <w:p w14:paraId="0883EC0D" w14:textId="77777777" w:rsidR="00F32B1C" w:rsidRPr="00F32B1C" w:rsidRDefault="00F32B1C" w:rsidP="00F32B1C">
      <w:pPr>
        <w:spacing w:after="160" w:line="276" w:lineRule="auto"/>
        <w:rPr>
          <w:rFonts w:ascii="Noto Sans" w:eastAsiaTheme="minorHAnsi" w:hAnsi="Noto Sans" w:cs="Noto Sans"/>
          <w:sz w:val="22"/>
        </w:rPr>
      </w:pPr>
      <w:r w:rsidRPr="00F32B1C">
        <w:rPr>
          <w:rFonts w:ascii="Noto Sans" w:eastAsiaTheme="minorHAnsi" w:hAnsi="Noto Sans" w:cs="Noto Sans"/>
          <w:sz w:val="22"/>
        </w:rPr>
        <w:t>New EU regulations, including the Construction Products Regulation (CPR) and Ecodesign for Sustainable Products Regulation (ESPR), as well as the UK Construction Reform Act, are set to place new demands on manufacturers and suppliers of construction products. While current compliance dates are still to be confirmed, the direction of travel is clear: manufacturers will need to provide structured, digital product information that can be accessed and shared consistently throughout a building's lifecycle.</w:t>
      </w:r>
    </w:p>
    <w:p w14:paraId="48035A41" w14:textId="77777777" w:rsidR="00F32B1C" w:rsidRPr="00F32B1C" w:rsidRDefault="00F32B1C" w:rsidP="00F32B1C">
      <w:pPr>
        <w:spacing w:after="160" w:line="276" w:lineRule="auto"/>
        <w:rPr>
          <w:rFonts w:ascii="Noto Sans" w:eastAsiaTheme="minorHAnsi" w:hAnsi="Noto Sans" w:cs="Noto Sans"/>
          <w:sz w:val="22"/>
        </w:rPr>
      </w:pPr>
      <w:r w:rsidRPr="00F32B1C">
        <w:rPr>
          <w:rFonts w:ascii="Noto Sans" w:eastAsiaTheme="minorHAnsi" w:hAnsi="Noto Sans" w:cs="Noto Sans"/>
          <w:sz w:val="22"/>
        </w:rPr>
        <w:t>In the UK, the need for improved traceability is already understood. The ‘golden thread’ of data refers to a digital record of a building’s crucial safety and design information. While currently only legally mandated for higher-risk buildings (HRBs), there is growing awareness across building companies of the value of a single source of truth across projects of all sizes.</w:t>
      </w:r>
    </w:p>
    <w:p w14:paraId="43AA5DE8" w14:textId="77777777" w:rsidR="00F32B1C" w:rsidRPr="00F32B1C" w:rsidRDefault="00F32B1C" w:rsidP="00F32B1C">
      <w:pPr>
        <w:spacing w:after="160" w:line="276" w:lineRule="auto"/>
        <w:rPr>
          <w:rFonts w:ascii="Noto Sans" w:eastAsiaTheme="minorHAnsi" w:hAnsi="Noto Sans" w:cs="Noto Sans"/>
          <w:sz w:val="22"/>
        </w:rPr>
      </w:pPr>
      <w:r w:rsidRPr="00F32B1C">
        <w:rPr>
          <w:rFonts w:ascii="Noto Sans" w:eastAsiaTheme="minorHAnsi" w:hAnsi="Noto Sans" w:cs="Noto Sans"/>
          <w:sz w:val="22"/>
        </w:rPr>
        <w:t xml:space="preserve">To date, the limitation to achieving this golden thread has been a lack of standardization and a single, agreed-upon operating framework. The result has been siloed operations that have constrained effective, end-to-end supply chain collaboration, which is required to improve operational effectiveness and maximize the value of deep product data. The shift towards a more regulated environment will, </w:t>
      </w:r>
      <w:r w:rsidRPr="00F32B1C">
        <w:rPr>
          <w:rFonts w:ascii="Noto Sans" w:eastAsiaTheme="minorHAnsi" w:hAnsi="Noto Sans" w:cs="Noto Sans"/>
          <w:sz w:val="22"/>
        </w:rPr>
        <w:lastRenderedPageBreak/>
        <w:t>however, accelerate change and encourage the widespread adoption of standards required to achieve a more consistent and transparent construction process.</w:t>
      </w:r>
    </w:p>
    <w:p w14:paraId="79E17581" w14:textId="77777777" w:rsidR="00F32B1C" w:rsidRPr="00F32B1C" w:rsidRDefault="00F32B1C" w:rsidP="00F32B1C">
      <w:pPr>
        <w:spacing w:after="160" w:line="276" w:lineRule="auto"/>
        <w:rPr>
          <w:rFonts w:ascii="Noto Sans" w:eastAsiaTheme="minorHAnsi" w:hAnsi="Noto Sans" w:cs="Noto Sans"/>
          <w:b/>
          <w:bCs/>
          <w:sz w:val="22"/>
        </w:rPr>
      </w:pPr>
      <w:r w:rsidRPr="00F32B1C">
        <w:rPr>
          <w:rFonts w:ascii="Noto Sans" w:eastAsiaTheme="minorHAnsi" w:hAnsi="Noto Sans" w:cs="Noto Sans"/>
          <w:b/>
          <w:bCs/>
          <w:sz w:val="22"/>
        </w:rPr>
        <w:t>Data standards support construction compliance</w:t>
      </w:r>
    </w:p>
    <w:p w14:paraId="5965C91A" w14:textId="77777777" w:rsidR="00F32B1C" w:rsidRPr="00F32B1C" w:rsidRDefault="00F32B1C" w:rsidP="00F32B1C">
      <w:pPr>
        <w:spacing w:after="160" w:line="276" w:lineRule="auto"/>
        <w:rPr>
          <w:rFonts w:ascii="Noto Sans" w:eastAsiaTheme="minorHAnsi" w:hAnsi="Noto Sans" w:cs="Noto Sans"/>
          <w:sz w:val="22"/>
        </w:rPr>
      </w:pPr>
      <w:r w:rsidRPr="00F32B1C">
        <w:rPr>
          <w:rFonts w:ascii="Noto Sans" w:eastAsiaTheme="minorHAnsi" w:hAnsi="Noto Sans" w:cs="Noto Sans"/>
          <w:sz w:val="22"/>
        </w:rPr>
        <w:t>As seen in other industries, most notably the pharmaceutical industry, standardization and the adoption of a globally recognized, accessible language, such as that provided by 2D codes powered by GS1, is the foundation for effective data sharing and traceability. It enables the seamless transfer of consistent, trusted, and usable information from one end of the supply chain to the other, allowing organizations at every stage to leverage real-time information to improve efficiency and control.</w:t>
      </w:r>
    </w:p>
    <w:p w14:paraId="30E0D25F" w14:textId="77777777" w:rsidR="00F32B1C" w:rsidRPr="00F32B1C" w:rsidRDefault="00F32B1C" w:rsidP="00F32B1C">
      <w:pPr>
        <w:spacing w:after="160" w:line="276" w:lineRule="auto"/>
        <w:rPr>
          <w:rFonts w:ascii="Noto Sans" w:eastAsiaTheme="minorHAnsi" w:hAnsi="Noto Sans" w:cs="Noto Sans"/>
          <w:sz w:val="22"/>
        </w:rPr>
      </w:pPr>
      <w:r w:rsidRPr="00F32B1C">
        <w:rPr>
          <w:rFonts w:ascii="Noto Sans" w:eastAsiaTheme="minorHAnsi" w:hAnsi="Noto Sans" w:cs="Noto Sans"/>
          <w:sz w:val="22"/>
        </w:rPr>
        <w:t>The depth of information that can be included within a digital product passport is compelling. While demands vary dependent upon product type, essentially the regulations will require the provision of a globally unique product identifier; a digital data carrier (e.g. QR, NFC, RFID); product performance and safety information; compliance and certification documentation; environmental performance data; and material composition.</w:t>
      </w:r>
    </w:p>
    <w:p w14:paraId="3BF35DE1" w14:textId="77777777" w:rsidR="00F32B1C" w:rsidRPr="00F32B1C" w:rsidRDefault="00F32B1C" w:rsidP="00F32B1C">
      <w:pPr>
        <w:spacing w:after="160" w:line="276" w:lineRule="auto"/>
        <w:rPr>
          <w:rFonts w:ascii="Noto Sans" w:eastAsiaTheme="minorHAnsi" w:hAnsi="Noto Sans" w:cs="Noto Sans"/>
          <w:sz w:val="22"/>
        </w:rPr>
      </w:pPr>
      <w:r w:rsidRPr="00F32B1C">
        <w:rPr>
          <w:rFonts w:ascii="Noto Sans" w:eastAsiaTheme="minorHAnsi" w:hAnsi="Noto Sans" w:cs="Noto Sans"/>
          <w:sz w:val="22"/>
        </w:rPr>
        <w:t>Leveraging a standardized language to provide this deep data supports far more effective information flow between systems and people, from the factory through to the building site. It will allow construction organizations to create a digital record, or ‘twin’ of a building, with evidence of what products were used and where. This digital twin can also be used to demonstrate that the building meets the required standards, with the addition of unique identifiers that allow products to be tracked to the batch level for mass-produced items and to the individual level for higher-risk items such as fire doors</w:t>
      </w:r>
    </w:p>
    <w:p w14:paraId="026552A4" w14:textId="77777777" w:rsidR="00F32B1C" w:rsidRPr="00F32B1C" w:rsidRDefault="00F32B1C" w:rsidP="00F32B1C">
      <w:pPr>
        <w:spacing w:after="160" w:line="276" w:lineRule="auto"/>
        <w:rPr>
          <w:rFonts w:ascii="Noto Sans" w:eastAsiaTheme="minorHAnsi" w:hAnsi="Noto Sans" w:cs="Noto Sans"/>
          <w:b/>
          <w:bCs/>
          <w:sz w:val="22"/>
        </w:rPr>
      </w:pPr>
      <w:r w:rsidRPr="00F32B1C">
        <w:rPr>
          <w:rFonts w:ascii="Noto Sans" w:eastAsiaTheme="minorHAnsi" w:hAnsi="Noto Sans" w:cs="Noto Sans"/>
          <w:b/>
          <w:bCs/>
          <w:sz w:val="22"/>
        </w:rPr>
        <w:t xml:space="preserve">Extracting value from data beyond compliance </w:t>
      </w:r>
    </w:p>
    <w:p w14:paraId="041FFF26" w14:textId="77777777" w:rsidR="00F32B1C" w:rsidRPr="00F32B1C" w:rsidRDefault="00F32B1C" w:rsidP="00F32B1C">
      <w:pPr>
        <w:spacing w:after="160" w:line="276" w:lineRule="auto"/>
        <w:rPr>
          <w:rFonts w:ascii="Noto Sans" w:eastAsiaTheme="minorHAnsi" w:hAnsi="Noto Sans" w:cs="Noto Sans"/>
          <w:sz w:val="22"/>
        </w:rPr>
      </w:pPr>
      <w:r w:rsidRPr="00F32B1C">
        <w:rPr>
          <w:rFonts w:ascii="Noto Sans" w:eastAsiaTheme="minorHAnsi" w:hAnsi="Noto Sans" w:cs="Noto Sans"/>
          <w:sz w:val="22"/>
        </w:rPr>
        <w:t xml:space="preserve">Regulatory compliance should just be the beginning of significant operational change and additional benefits over and above remaining compliant. Improved product information can support greater automation and real-time process management that can significantly improve day-to-day operational performance. For construction companies, product deliveries can be scanned as they arrive on site, removing the inaccuracies and delays associated with manual paperwork. </w:t>
      </w:r>
    </w:p>
    <w:p w14:paraId="5A8C16AB" w14:textId="77777777" w:rsidR="00F32B1C" w:rsidRPr="00F32B1C" w:rsidRDefault="00F32B1C" w:rsidP="00F32B1C">
      <w:pPr>
        <w:spacing w:after="160" w:line="276" w:lineRule="auto"/>
        <w:rPr>
          <w:rFonts w:ascii="Noto Sans" w:eastAsiaTheme="minorHAnsi" w:hAnsi="Noto Sans" w:cs="Noto Sans"/>
          <w:sz w:val="22"/>
        </w:rPr>
      </w:pPr>
      <w:r w:rsidRPr="00F32B1C">
        <w:rPr>
          <w:rFonts w:ascii="Noto Sans" w:eastAsiaTheme="minorHAnsi" w:hAnsi="Noto Sans" w:cs="Noto Sans"/>
          <w:sz w:val="22"/>
        </w:rPr>
        <w:t xml:space="preserve">Real-time scanning of items as they are installed can help to ensure the correct parts are used across a building project. Additional information can include products that need to be paired to ensure correct installation, further improving quality and avoiding </w:t>
      </w:r>
      <w:r w:rsidRPr="00F32B1C">
        <w:rPr>
          <w:rFonts w:ascii="Noto Sans" w:eastAsiaTheme="minorHAnsi" w:hAnsi="Noto Sans" w:cs="Noto Sans"/>
          <w:sz w:val="22"/>
        </w:rPr>
        <w:lastRenderedPageBreak/>
        <w:t>the risk of expensive delays or inspection failures. Indeed, site inspectors with detailed insight in advance into the specific high-risk areas that require assessment can achieve more focused and faster inspections and sign-off.</w:t>
      </w:r>
    </w:p>
    <w:p w14:paraId="4B4E81FE" w14:textId="77777777" w:rsidR="00F32B1C" w:rsidRPr="00F32B1C" w:rsidRDefault="00F32B1C" w:rsidP="00F32B1C">
      <w:pPr>
        <w:spacing w:after="160" w:line="276" w:lineRule="auto"/>
        <w:rPr>
          <w:rFonts w:ascii="Noto Sans" w:eastAsiaTheme="minorHAnsi" w:hAnsi="Noto Sans" w:cs="Noto Sans"/>
          <w:sz w:val="22"/>
        </w:rPr>
      </w:pPr>
      <w:r w:rsidRPr="00F32B1C">
        <w:rPr>
          <w:rFonts w:ascii="Noto Sans" w:eastAsiaTheme="minorHAnsi" w:hAnsi="Noto Sans" w:cs="Noto Sans"/>
          <w:sz w:val="22"/>
        </w:rPr>
        <w:t>Replacing manual paperwork with real-time information from product identifiers can also allow construction companies to move away from the ‘just in case’ stock ordering that has been traditionally adopted to avoid delays. In addition to cutting costs, avoiding over-ordering materials will minimize waste, further supporting construction companies’ sustainability goals. Identifiable surplus materials can be returned or reused rather than disposed of, further reducing waste and cost.</w:t>
      </w:r>
    </w:p>
    <w:p w14:paraId="1DDDBCB3" w14:textId="77777777" w:rsidR="00F32B1C" w:rsidRPr="00F32B1C" w:rsidRDefault="00F32B1C" w:rsidP="00F32B1C">
      <w:pPr>
        <w:spacing w:after="160" w:line="276" w:lineRule="auto"/>
        <w:rPr>
          <w:rFonts w:ascii="Noto Sans" w:eastAsiaTheme="minorHAnsi" w:hAnsi="Noto Sans" w:cs="Noto Sans"/>
          <w:b/>
          <w:bCs/>
          <w:sz w:val="22"/>
        </w:rPr>
      </w:pPr>
      <w:r w:rsidRPr="00F32B1C">
        <w:rPr>
          <w:rFonts w:ascii="Noto Sans" w:eastAsiaTheme="minorHAnsi" w:hAnsi="Noto Sans" w:cs="Noto Sans"/>
          <w:b/>
          <w:bCs/>
          <w:sz w:val="22"/>
        </w:rPr>
        <w:t>Leveraging data to improve operational performance</w:t>
      </w:r>
    </w:p>
    <w:p w14:paraId="5E9CE72F" w14:textId="77777777" w:rsidR="00F32B1C" w:rsidRPr="00F32B1C" w:rsidRDefault="00F32B1C" w:rsidP="00F32B1C">
      <w:pPr>
        <w:spacing w:after="160" w:line="276" w:lineRule="auto"/>
        <w:rPr>
          <w:rFonts w:ascii="Noto Sans" w:eastAsiaTheme="minorHAnsi" w:hAnsi="Noto Sans" w:cs="Noto Sans"/>
          <w:sz w:val="22"/>
        </w:rPr>
      </w:pPr>
      <w:r w:rsidRPr="00F32B1C">
        <w:rPr>
          <w:rFonts w:ascii="Noto Sans" w:eastAsiaTheme="minorHAnsi" w:hAnsi="Noto Sans" w:cs="Noto Sans"/>
          <w:sz w:val="22"/>
        </w:rPr>
        <w:t xml:space="preserve">Detailed item-level information can also enable construction companies to improve stock rotation. For perishable items, such as plaster, controls can be implemented to avoid products going out of date and being wasted – adding both cost and, potentially, the need for complex disposal processes. Critically, it also reinforces safety protocols for products such as cement which can be </w:t>
      </w:r>
      <w:hyperlink r:id="rId8" w:history="1">
        <w:r w:rsidRPr="00F32B1C">
          <w:rPr>
            <w:rFonts w:ascii="Noto Sans" w:eastAsiaTheme="minorHAnsi" w:hAnsi="Noto Sans" w:cs="Noto Sans"/>
            <w:color w:val="0563C1" w:themeColor="hyperlink"/>
            <w:sz w:val="22"/>
            <w:u w:val="single"/>
          </w:rPr>
          <w:t>hazardous to workers</w:t>
        </w:r>
      </w:hyperlink>
      <w:r w:rsidRPr="00F32B1C">
        <w:rPr>
          <w:rFonts w:ascii="Noto Sans" w:eastAsiaTheme="minorHAnsi" w:hAnsi="Noto Sans" w:cs="Noto Sans"/>
          <w:sz w:val="22"/>
        </w:rPr>
        <w:t xml:space="preserve"> and undermine building integrity.</w:t>
      </w:r>
    </w:p>
    <w:p w14:paraId="445DCCD7" w14:textId="77777777" w:rsidR="00F32B1C" w:rsidRPr="00F32B1C" w:rsidRDefault="00F32B1C" w:rsidP="00F32B1C">
      <w:pPr>
        <w:spacing w:after="160" w:line="276" w:lineRule="auto"/>
        <w:rPr>
          <w:rFonts w:ascii="Noto Sans" w:eastAsiaTheme="minorHAnsi" w:hAnsi="Noto Sans" w:cs="Noto Sans"/>
          <w:sz w:val="22"/>
        </w:rPr>
      </w:pPr>
      <w:r w:rsidRPr="00F32B1C">
        <w:rPr>
          <w:rFonts w:ascii="Noto Sans" w:eastAsiaTheme="minorHAnsi" w:hAnsi="Noto Sans" w:cs="Noto Sans"/>
          <w:sz w:val="22"/>
        </w:rPr>
        <w:t>For building product manufacturers, utilizing global standards such as GS1 Digital Link enables more data to be tracked and linked to products, supporting targeted recall, if required. Faulty batches can be identified and located rapidly, ensuring that only affected products are recalled and minimizing potential business costs. Furthermore, complete traceability will also avoid the problems associated with identifying buildings affected by problems, as occurred after the Grenfell building fire in London.</w:t>
      </w:r>
    </w:p>
    <w:p w14:paraId="5D883AFB" w14:textId="77777777" w:rsidR="00F32B1C" w:rsidRPr="00F32B1C" w:rsidRDefault="00F32B1C" w:rsidP="00F32B1C">
      <w:pPr>
        <w:spacing w:after="160" w:line="276" w:lineRule="auto"/>
        <w:rPr>
          <w:rFonts w:ascii="Noto Sans" w:eastAsiaTheme="minorHAnsi" w:hAnsi="Noto Sans" w:cs="Noto Sans"/>
          <w:sz w:val="22"/>
        </w:rPr>
      </w:pPr>
      <w:r w:rsidRPr="00F32B1C">
        <w:rPr>
          <w:rFonts w:ascii="Noto Sans" w:eastAsiaTheme="minorHAnsi" w:hAnsi="Noto Sans" w:cs="Noto Sans"/>
          <w:sz w:val="22"/>
        </w:rPr>
        <w:t xml:space="preserve">This depth of data, when accessed via a product identifier, can also support far more effective anti-counterfeit activity, enabling construction sites to verify genuine materials and confidently use authentic, safe products and, through the use of resolvers, enables different stakeholders to access different data sets or web pages at different point in the value chain.  </w:t>
      </w:r>
    </w:p>
    <w:p w14:paraId="4E4B9815" w14:textId="77777777" w:rsidR="00F32B1C" w:rsidRPr="00F32B1C" w:rsidRDefault="00F32B1C" w:rsidP="00F32B1C">
      <w:pPr>
        <w:spacing w:after="160" w:line="276" w:lineRule="auto"/>
        <w:rPr>
          <w:rFonts w:ascii="Noto Sans" w:eastAsiaTheme="minorHAnsi" w:hAnsi="Noto Sans" w:cs="Noto Sans"/>
          <w:b/>
          <w:bCs/>
          <w:sz w:val="22"/>
        </w:rPr>
      </w:pPr>
      <w:r w:rsidRPr="00F32B1C">
        <w:rPr>
          <w:rFonts w:ascii="Noto Sans" w:eastAsiaTheme="minorHAnsi" w:hAnsi="Noto Sans" w:cs="Noto Sans"/>
          <w:b/>
          <w:bCs/>
          <w:sz w:val="22"/>
        </w:rPr>
        <w:t>Leveraging compliance to achieve competitive advantage</w:t>
      </w:r>
    </w:p>
    <w:p w14:paraId="451642DB" w14:textId="77777777" w:rsidR="00F32B1C" w:rsidRPr="00F32B1C" w:rsidRDefault="00F32B1C" w:rsidP="00F32B1C">
      <w:pPr>
        <w:spacing w:after="160" w:line="276" w:lineRule="auto"/>
        <w:rPr>
          <w:rFonts w:ascii="Noto Sans" w:eastAsiaTheme="minorHAnsi" w:hAnsi="Noto Sans" w:cs="Noto Sans"/>
          <w:sz w:val="22"/>
        </w:rPr>
      </w:pPr>
      <w:r w:rsidRPr="00F32B1C">
        <w:rPr>
          <w:rFonts w:ascii="Noto Sans" w:eastAsiaTheme="minorHAnsi" w:hAnsi="Noto Sans" w:cs="Noto Sans"/>
          <w:sz w:val="22"/>
        </w:rPr>
        <w:t xml:space="preserve">The addition of detailed, unique identifiers will allow organizations throughout the building and construction industry to ensure compliance with new and upcoming regulations. But more importantly, it will also change how organizations interact and collaborate across the supply chain. The additional depth of information that can be provided on products at both the batch and individual levels offers materials </w:t>
      </w:r>
      <w:r w:rsidRPr="00F32B1C">
        <w:rPr>
          <w:rFonts w:ascii="Noto Sans" w:eastAsiaTheme="minorHAnsi" w:hAnsi="Noto Sans" w:cs="Noto Sans"/>
          <w:sz w:val="22"/>
        </w:rPr>
        <w:lastRenderedPageBreak/>
        <w:t>manufacturers an opportunity to become embedded within the end-to-end supply chain, providing construction companies with a tangible commercial differentiator.</w:t>
      </w:r>
    </w:p>
    <w:p w14:paraId="020FB49D" w14:textId="77777777" w:rsidR="00F32B1C" w:rsidRPr="00F32B1C" w:rsidRDefault="00F32B1C" w:rsidP="00F32B1C">
      <w:pPr>
        <w:spacing w:after="160" w:line="259" w:lineRule="auto"/>
        <w:rPr>
          <w:rFonts w:ascii="Noto Sans" w:eastAsiaTheme="minorHAnsi" w:hAnsi="Noto Sans" w:cs="Noto Sans"/>
          <w:sz w:val="22"/>
        </w:rPr>
      </w:pPr>
      <w:r w:rsidRPr="00F32B1C">
        <w:rPr>
          <w:rFonts w:ascii="Noto Sans" w:eastAsiaTheme="minorHAnsi" w:hAnsi="Noto Sans" w:cs="Noto Sans"/>
          <w:sz w:val="22"/>
        </w:rPr>
        <w:t>The provision of product information through adopting global standards, such as 2D codes powered by GS1, will become not only a compliance requirement but a commercial necessity. Today, there is a compelling opportunity to look beyond the perception that compliance is an overhead and recognize that building and construction manufacturers can deliver significant value throughout a connected and collaborative supply chain.</w:t>
      </w:r>
    </w:p>
    <w:p w14:paraId="6BAF12FE" w14:textId="77777777" w:rsidR="00F32B1C" w:rsidRDefault="00F32B1C" w:rsidP="00F32B1C">
      <w:pPr>
        <w:spacing w:after="160" w:line="259" w:lineRule="auto"/>
        <w:rPr>
          <w:rFonts w:ascii="Noto Sans" w:eastAsiaTheme="minorHAnsi" w:hAnsi="Noto Sans" w:cs="Noto Sans"/>
          <w:b/>
          <w:bCs/>
          <w:sz w:val="22"/>
        </w:rPr>
      </w:pPr>
    </w:p>
    <w:p w14:paraId="2F90917A" w14:textId="2CD46839" w:rsidR="00F32B1C" w:rsidRDefault="00F32B1C" w:rsidP="00F32B1C">
      <w:pPr>
        <w:spacing w:after="160" w:line="259" w:lineRule="auto"/>
        <w:rPr>
          <w:rFonts w:ascii="Noto Sans" w:eastAsiaTheme="minorHAnsi" w:hAnsi="Noto Sans" w:cs="Noto Sans"/>
          <w:b/>
          <w:bCs/>
          <w:sz w:val="22"/>
        </w:rPr>
      </w:pPr>
      <w:r w:rsidRPr="00F32B1C">
        <w:rPr>
          <w:rFonts w:ascii="Noto Sans" w:eastAsiaTheme="minorHAnsi" w:hAnsi="Noto Sans" w:cs="Noto Sans"/>
          <w:b/>
          <w:bCs/>
          <w:sz w:val="22"/>
        </w:rPr>
        <w:t xml:space="preserve">&lt;ENDS&gt; </w:t>
      </w:r>
    </w:p>
    <w:p w14:paraId="56058537" w14:textId="77777777" w:rsidR="00F32B1C" w:rsidRPr="00F32B1C" w:rsidRDefault="00F32B1C" w:rsidP="00F32B1C">
      <w:pPr>
        <w:spacing w:after="160" w:line="259" w:lineRule="auto"/>
        <w:rPr>
          <w:rFonts w:ascii="Noto Sans" w:eastAsiaTheme="minorHAnsi" w:hAnsi="Noto Sans" w:cs="Noto Sans"/>
          <w:sz w:val="22"/>
        </w:rPr>
      </w:pPr>
    </w:p>
    <w:p w14:paraId="5829AFC4" w14:textId="77777777" w:rsidR="00F32B1C" w:rsidRPr="00F32B1C" w:rsidRDefault="00F32B1C" w:rsidP="00F32B1C">
      <w:pPr>
        <w:spacing w:line="240" w:lineRule="auto"/>
        <w:rPr>
          <w:rFonts w:ascii="Noto Sans" w:hAnsi="Noto Sans" w:cs="Noto Sans"/>
          <w:sz w:val="20"/>
          <w:szCs w:val="20"/>
        </w:rPr>
      </w:pPr>
      <w:bookmarkStart w:id="0" w:name="_Hlk46133219"/>
      <w:r w:rsidRPr="00F32B1C">
        <w:rPr>
          <w:rFonts w:ascii="Noto Sans" w:eastAsia="Gill Sans" w:hAnsi="Noto Sans" w:cs="Noto Sans"/>
          <w:b/>
          <w:sz w:val="20"/>
          <w:szCs w:val="20"/>
        </w:rPr>
        <w:t>Disclaimers</w:t>
      </w:r>
      <w:r w:rsidRPr="00F32B1C">
        <w:rPr>
          <w:rFonts w:ascii="Noto Sans" w:eastAsia="Gill Sans" w:hAnsi="Noto Sans" w:cs="Noto Sans"/>
          <w:b/>
          <w:sz w:val="20"/>
          <w:szCs w:val="20"/>
        </w:rPr>
        <w:br/>
      </w:r>
      <w:r w:rsidRPr="00F32B1C">
        <w:rPr>
          <w:rFonts w:ascii="Noto Sans" w:eastAsia="Gill Sans" w:hAnsi="Noto Sans" w:cs="Noto Sans"/>
          <w:sz w:val="20"/>
          <w:szCs w:val="20"/>
        </w:rPr>
        <w:br/>
      </w:r>
      <w:r w:rsidRPr="00F32B1C">
        <w:rPr>
          <w:rFonts w:ascii="Noto Sans" w:hAnsi="Noto Sans" w:cs="Noto Sans"/>
          <w:b/>
          <w:bCs/>
          <w:sz w:val="20"/>
          <w:szCs w:val="20"/>
        </w:rPr>
        <w:t>Inks</w:t>
      </w:r>
      <w:r w:rsidRPr="00F32B1C">
        <w:rPr>
          <w:rFonts w:ascii="Noto Sans" w:hAnsi="Noto Sans" w:cs="Noto Sans"/>
          <w:sz w:val="20"/>
          <w:szCs w:val="20"/>
        </w:rPr>
        <w:br/>
        <w:t xml:space="preserve">The information contained in this document is not intended as a substitute for undertaking appropriate testing for your specific use and circumstances. Neither Domino UK Limited nor any of Domino’s group of companies is in any way liable for any reliance that you may put on this document with regards to the suitability of any ink for your particular application. This document does not form part of any terms and conditions between you and Domino, Legal Disclaimers v.1.0 February 2018 and Domino’s Terms and Conditions of sale, and in particular the warranties and liabilities contained within them, shall apply to any purchase of products by you. </w:t>
      </w:r>
      <w:r w:rsidRPr="00F32B1C">
        <w:rPr>
          <w:rFonts w:ascii="Noto Sans" w:hAnsi="Noto Sans" w:cs="Noto Sans"/>
          <w:sz w:val="20"/>
          <w:szCs w:val="20"/>
        </w:rPr>
        <w:br/>
      </w:r>
      <w:r w:rsidRPr="00F32B1C">
        <w:rPr>
          <w:rFonts w:ascii="Noto Sans" w:hAnsi="Noto Sans" w:cs="Noto Sans"/>
          <w:sz w:val="20"/>
          <w:szCs w:val="20"/>
        </w:rPr>
        <w:br/>
      </w:r>
      <w:r w:rsidRPr="00F32B1C">
        <w:rPr>
          <w:rFonts w:ascii="Noto Sans" w:hAnsi="Noto Sans" w:cs="Noto Sans"/>
          <w:b/>
          <w:bCs/>
          <w:sz w:val="20"/>
          <w:szCs w:val="20"/>
        </w:rPr>
        <w:t>General</w:t>
      </w:r>
      <w:r w:rsidRPr="00F32B1C">
        <w:rPr>
          <w:rFonts w:ascii="Noto Sans" w:hAnsi="Noto Sans" w:cs="Noto Sans"/>
          <w:sz w:val="20"/>
          <w:szCs w:val="20"/>
        </w:rPr>
        <w:br/>
        <w:t>Information contained within this press release is considered to be true and correct at the date of publication by Domino, changes in circumstances after the time of publication may impact the accuracy of the information. All performance related figures and claims quoted in this document were obtained under specific conditions and may only be replicated under similar conditions. For specific product details, you should contact your Domino Sales Advisor. This document does not form part of any terms and conditions between you and Domino.</w:t>
      </w:r>
      <w:r w:rsidRPr="00F32B1C">
        <w:rPr>
          <w:rFonts w:ascii="Noto Sans" w:hAnsi="Noto Sans" w:cs="Noto Sans"/>
          <w:sz w:val="20"/>
          <w:szCs w:val="20"/>
        </w:rPr>
        <w:br/>
      </w:r>
      <w:r w:rsidRPr="00F32B1C">
        <w:rPr>
          <w:rFonts w:ascii="Noto Sans" w:hAnsi="Noto Sans" w:cs="Noto Sans"/>
          <w:sz w:val="20"/>
          <w:szCs w:val="20"/>
        </w:rPr>
        <w:br/>
      </w:r>
      <w:r w:rsidRPr="00F32B1C">
        <w:rPr>
          <w:rFonts w:ascii="Noto Sans" w:hAnsi="Noto Sans" w:cs="Noto Sans"/>
          <w:b/>
          <w:bCs/>
          <w:sz w:val="20"/>
          <w:szCs w:val="20"/>
        </w:rPr>
        <w:t>Imagery</w:t>
      </w:r>
      <w:r w:rsidRPr="00F32B1C">
        <w:rPr>
          <w:rFonts w:ascii="Noto Sans" w:hAnsi="Noto Sans" w:cs="Noto Sans"/>
          <w:sz w:val="20"/>
          <w:szCs w:val="20"/>
        </w:rPr>
        <w:br/>
        <w:t xml:space="preserve">Images may include optional extras or upgrades. Print quality may differ depending on consumables, printer, substrates, and other factors. Images and photographs do not form any part of any terms and conditions between you and Domino. </w:t>
      </w:r>
      <w:r w:rsidRPr="00F32B1C">
        <w:rPr>
          <w:rFonts w:ascii="Noto Sans" w:hAnsi="Noto Sans" w:cs="Noto Sans"/>
          <w:sz w:val="20"/>
          <w:szCs w:val="20"/>
        </w:rPr>
        <w:br/>
      </w:r>
      <w:r w:rsidRPr="00F32B1C">
        <w:rPr>
          <w:rFonts w:ascii="Noto Sans" w:hAnsi="Noto Sans" w:cs="Noto Sans"/>
          <w:sz w:val="20"/>
          <w:szCs w:val="20"/>
        </w:rPr>
        <w:br/>
      </w:r>
      <w:r w:rsidRPr="00F32B1C">
        <w:rPr>
          <w:rFonts w:ascii="Noto Sans" w:hAnsi="Noto Sans" w:cs="Noto Sans"/>
          <w:b/>
          <w:bCs/>
          <w:sz w:val="20"/>
          <w:szCs w:val="20"/>
        </w:rPr>
        <w:t>Videos</w:t>
      </w:r>
      <w:r w:rsidRPr="00F32B1C">
        <w:rPr>
          <w:rFonts w:ascii="Noto Sans" w:hAnsi="Noto Sans" w:cs="Noto Sans"/>
          <w:sz w:val="20"/>
          <w:szCs w:val="20"/>
        </w:rPr>
        <w:br/>
        <w:t xml:space="preserve">This video is illustrative only and may include optional extras. Performance figures obtained under specific conditions; individual performance may vary. Errors and downtime on production lines may be unavoidable. Nothing in this video forms part of any contract between you and </w:t>
      </w:r>
      <w:r w:rsidRPr="00F32B1C">
        <w:rPr>
          <w:rFonts w:ascii="Noto Sans" w:hAnsi="Noto Sans" w:cs="Noto Sans"/>
          <w:sz w:val="20"/>
          <w:szCs w:val="20"/>
        </w:rPr>
        <w:lastRenderedPageBreak/>
        <w:t>Domino.</w:t>
      </w:r>
      <w:r w:rsidRPr="00F32B1C">
        <w:rPr>
          <w:rFonts w:ascii="Noto Sans" w:hAnsi="Noto Sans" w:cs="Noto Sans"/>
          <w:sz w:val="20"/>
          <w:szCs w:val="20"/>
        </w:rPr>
        <w:br/>
      </w:r>
      <w:r w:rsidRPr="00F32B1C">
        <w:rPr>
          <w:rFonts w:ascii="Noto Sans" w:eastAsia="Gill Sans" w:hAnsi="Noto Sans" w:cs="Noto Sans"/>
          <w:sz w:val="20"/>
          <w:szCs w:val="20"/>
        </w:rPr>
        <w:br/>
      </w:r>
      <w:bookmarkStart w:id="1" w:name="_Hlk61949672"/>
      <w:r w:rsidRPr="00F32B1C">
        <w:rPr>
          <w:rFonts w:ascii="Noto Sans" w:eastAsia="Gill Sans" w:hAnsi="Noto Sans" w:cs="Noto Sans"/>
          <w:b/>
          <w:sz w:val="20"/>
          <w:szCs w:val="20"/>
        </w:rPr>
        <w:br/>
        <w:t>Notes to Editors:</w:t>
      </w:r>
      <w:r w:rsidRPr="00F32B1C">
        <w:rPr>
          <w:rFonts w:ascii="Noto Sans" w:eastAsia="Gill Sans" w:hAnsi="Noto Sans" w:cs="Noto Sans"/>
          <w:b/>
          <w:sz w:val="20"/>
          <w:szCs w:val="20"/>
        </w:rPr>
        <w:br/>
      </w:r>
      <w:r w:rsidRPr="00F32B1C">
        <w:rPr>
          <w:rFonts w:ascii="Noto Sans" w:eastAsia="Gill Sans" w:hAnsi="Noto Sans" w:cs="Noto Sans"/>
          <w:sz w:val="20"/>
          <w:szCs w:val="20"/>
        </w:rPr>
        <w:br/>
      </w:r>
      <w:r w:rsidRPr="00F32B1C">
        <w:rPr>
          <w:rFonts w:ascii="Noto Sans" w:eastAsia="Gill Sans" w:hAnsi="Noto Sans" w:cs="Noto Sans"/>
          <w:b/>
          <w:sz w:val="20"/>
          <w:szCs w:val="20"/>
        </w:rPr>
        <w:t>About Domino</w:t>
      </w:r>
      <w:r w:rsidRPr="00F32B1C">
        <w:rPr>
          <w:rFonts w:ascii="Noto Sans" w:eastAsia="Gill Sans" w:hAnsi="Noto Sans" w:cs="Noto Sans"/>
          <w:b/>
          <w:sz w:val="20"/>
          <w:szCs w:val="20"/>
        </w:rPr>
        <w:br/>
      </w:r>
      <w:r w:rsidRPr="00F32B1C">
        <w:rPr>
          <w:rFonts w:ascii="Noto Sans" w:eastAsia="Gill Sans" w:hAnsi="Noto Sans" w:cs="Noto Sans"/>
          <w:sz w:val="20"/>
          <w:szCs w:val="20"/>
        </w:rPr>
        <w:br/>
        <w:t xml:space="preserve">Since 1978, Domino Printing Sciences (Domino) has established a global reputation for the development and manufacture of coding, marking, and printing technologies, as well as its worldwide aftermarket products and customer services. Today, Domino offers one of the most comprehensive portfolios of complete end-to-end coding solutions designed to satisfy the compliance and productivity requirements of manufacturers across many sectors, including food, beverage, pharmaceutical, and industrial. The company’s core technologies include innovative inkjet, laser, print and apply, and thermal transfer overprinting systems designed for the application of variable data, barcodes, and unique traceability codes onto product and packaging. </w:t>
      </w:r>
      <w:r w:rsidRPr="00F32B1C">
        <w:rPr>
          <w:rFonts w:ascii="Noto Sans" w:eastAsia="Gill Sans" w:hAnsi="Noto Sans" w:cs="Noto Sans"/>
          <w:sz w:val="20"/>
          <w:szCs w:val="20"/>
        </w:rPr>
        <w:br/>
      </w:r>
      <w:r w:rsidRPr="00F32B1C">
        <w:rPr>
          <w:rFonts w:ascii="Noto Sans" w:eastAsia="Gill Sans" w:hAnsi="Noto Sans" w:cs="Noto Sans"/>
          <w:sz w:val="20"/>
          <w:szCs w:val="20"/>
        </w:rPr>
        <w:br/>
        <w:t>Domino employs over 3,000 people worldwide and sells to more than 120 countries through a global network of 29 subsidiary offices and more than 200 distributors. Domino’s manufacturing facilities are located in China, Germany, India, Sweden, Switzerland, UK, and the USA.</w:t>
      </w:r>
      <w:r w:rsidRPr="00F32B1C">
        <w:rPr>
          <w:rFonts w:ascii="Noto Sans" w:eastAsia="Gill Sans" w:hAnsi="Noto Sans" w:cs="Noto Sans"/>
          <w:sz w:val="20"/>
          <w:szCs w:val="20"/>
        </w:rPr>
        <w:br/>
      </w:r>
      <w:r w:rsidRPr="00F32B1C">
        <w:rPr>
          <w:rFonts w:ascii="Noto Sans" w:eastAsia="Gill Sans" w:hAnsi="Noto Sans" w:cs="Noto Sans"/>
          <w:sz w:val="20"/>
          <w:szCs w:val="20"/>
        </w:rPr>
        <w:br/>
        <w:t>Domino became an autonomous division within Brother Industries Ltd. on 11</w:t>
      </w:r>
      <w:r w:rsidRPr="00F32B1C">
        <w:rPr>
          <w:rFonts w:ascii="Noto Sans" w:eastAsia="Gill Sans" w:hAnsi="Noto Sans" w:cs="Noto Sans"/>
          <w:sz w:val="20"/>
          <w:szCs w:val="20"/>
          <w:vertAlign w:val="superscript"/>
        </w:rPr>
        <w:t>th</w:t>
      </w:r>
      <w:r w:rsidRPr="00F32B1C">
        <w:rPr>
          <w:rFonts w:ascii="Noto Sans" w:eastAsia="Gill Sans" w:hAnsi="Noto Sans" w:cs="Noto Sans"/>
          <w:sz w:val="20"/>
          <w:szCs w:val="20"/>
        </w:rPr>
        <w:t xml:space="preserve"> June 2015. </w:t>
      </w:r>
      <w:r w:rsidRPr="00F32B1C">
        <w:rPr>
          <w:rFonts w:ascii="Noto Sans" w:eastAsia="Gill Sans" w:hAnsi="Noto Sans" w:cs="Noto Sans"/>
          <w:sz w:val="20"/>
          <w:szCs w:val="20"/>
        </w:rPr>
        <w:br/>
      </w:r>
      <w:r w:rsidRPr="00F32B1C">
        <w:rPr>
          <w:rFonts w:ascii="Noto Sans" w:eastAsia="Gill Sans" w:hAnsi="Noto Sans" w:cs="Noto Sans"/>
          <w:sz w:val="20"/>
          <w:szCs w:val="20"/>
        </w:rPr>
        <w:br/>
      </w:r>
      <w:r w:rsidRPr="00F32B1C">
        <w:rPr>
          <w:rFonts w:ascii="Noto Sans" w:eastAsia="Gill Sans" w:hAnsi="Noto Sans" w:cs="Noto Sans"/>
          <w:b/>
          <w:bCs/>
          <w:sz w:val="20"/>
          <w:szCs w:val="20"/>
        </w:rPr>
        <w:t>For further information on Domino</w:t>
      </w:r>
      <w:r w:rsidRPr="00F32B1C">
        <w:rPr>
          <w:rFonts w:ascii="Noto Sans" w:eastAsia="Gill Sans" w:hAnsi="Noto Sans" w:cs="Noto Sans"/>
          <w:sz w:val="20"/>
          <w:szCs w:val="20"/>
        </w:rPr>
        <w:t xml:space="preserve">, please visit </w:t>
      </w:r>
      <w:hyperlink r:id="rId9" w:history="1">
        <w:r w:rsidRPr="00F32B1C">
          <w:rPr>
            <w:rFonts w:ascii="Noto Sans" w:eastAsia="Gill Sans" w:hAnsi="Noto Sans" w:cs="Noto Sans"/>
            <w:color w:val="0000FF"/>
            <w:sz w:val="20"/>
            <w:szCs w:val="20"/>
            <w:u w:val="single"/>
          </w:rPr>
          <w:t>www.domino-printing.com</w:t>
        </w:r>
      </w:hyperlink>
      <w:r w:rsidRPr="00F32B1C">
        <w:rPr>
          <w:rFonts w:ascii="Noto Sans" w:eastAsia="Gill Sans" w:hAnsi="Noto Sans" w:cs="Noto Sans"/>
          <w:sz w:val="20"/>
          <w:szCs w:val="20"/>
        </w:rPr>
        <w:t xml:space="preserve"> or contact:</w:t>
      </w:r>
      <w:r w:rsidRPr="00F32B1C">
        <w:rPr>
          <w:rFonts w:ascii="Noto Sans" w:eastAsia="Gill Sans" w:hAnsi="Noto Sans" w:cs="Noto Sans"/>
          <w:sz w:val="20"/>
          <w:szCs w:val="20"/>
        </w:rPr>
        <w:br/>
      </w:r>
      <w:r w:rsidRPr="00F32B1C">
        <w:rPr>
          <w:rFonts w:ascii="Noto Sans" w:eastAsia="Gill Sans" w:hAnsi="Noto Sans" w:cs="Noto Sans"/>
          <w:sz w:val="20"/>
          <w:szCs w:val="20"/>
        </w:rPr>
        <w:br/>
      </w:r>
      <w:bookmarkEnd w:id="1"/>
      <w:r w:rsidRPr="00F32B1C">
        <w:rPr>
          <w:rFonts w:ascii="Noto Sans" w:hAnsi="Noto Sans" w:cs="Noto Sans"/>
          <w:sz w:val="20"/>
          <w:szCs w:val="20"/>
          <w:lang w:val="nl"/>
        </w:rPr>
        <w:t>Jade Taylor-Salazar</w:t>
      </w:r>
      <w:r w:rsidRPr="00F32B1C">
        <w:rPr>
          <w:rFonts w:ascii="Noto Sans" w:hAnsi="Noto Sans" w:cs="Noto Sans"/>
          <w:b/>
          <w:bCs/>
          <w:sz w:val="20"/>
          <w:szCs w:val="20"/>
        </w:rPr>
        <w:br/>
      </w:r>
      <w:r w:rsidRPr="00F32B1C">
        <w:rPr>
          <w:rFonts w:ascii="Noto Sans" w:hAnsi="Noto Sans" w:cs="Noto Sans"/>
          <w:sz w:val="20"/>
          <w:szCs w:val="20"/>
        </w:rPr>
        <w:t xml:space="preserve">PR and Content Manager </w:t>
      </w:r>
      <w:r w:rsidRPr="00F32B1C">
        <w:rPr>
          <w:rFonts w:ascii="Noto Sans" w:hAnsi="Noto Sans" w:cs="Noto Sans"/>
          <w:sz w:val="20"/>
          <w:szCs w:val="20"/>
        </w:rPr>
        <w:br/>
        <w:t xml:space="preserve">Domino Printing Sciences </w:t>
      </w:r>
      <w:r w:rsidRPr="00F32B1C">
        <w:rPr>
          <w:rFonts w:ascii="Noto Sans" w:hAnsi="Noto Sans" w:cs="Noto Sans"/>
          <w:sz w:val="20"/>
          <w:szCs w:val="20"/>
        </w:rPr>
        <w:br/>
        <w:t>Tel: +44 (0) 1954 778780</w:t>
      </w:r>
      <w:r w:rsidRPr="00F32B1C">
        <w:rPr>
          <w:rFonts w:ascii="Noto Sans" w:hAnsi="Noto Sans" w:cs="Noto Sans"/>
          <w:sz w:val="20"/>
          <w:szCs w:val="20"/>
        </w:rPr>
        <w:br/>
      </w:r>
      <w:bookmarkEnd w:id="0"/>
      <w:r w:rsidRPr="00F32B1C">
        <w:rPr>
          <w:rFonts w:ascii="Noto Sans" w:hAnsi="Noto Sans" w:cs="Noto Sans"/>
          <w:sz w:val="20"/>
          <w:szCs w:val="20"/>
        </w:rPr>
        <w:fldChar w:fldCharType="begin"/>
      </w:r>
      <w:r w:rsidRPr="00F32B1C">
        <w:rPr>
          <w:rFonts w:ascii="Noto Sans" w:hAnsi="Noto Sans" w:cs="Noto Sans"/>
          <w:sz w:val="20"/>
          <w:szCs w:val="20"/>
        </w:rPr>
        <w:instrText>HYPERLINK "mailto:Jade.Taylor-Salazar@domino-uk.com"</w:instrText>
      </w:r>
      <w:r w:rsidRPr="00F32B1C">
        <w:rPr>
          <w:rFonts w:ascii="Noto Sans" w:hAnsi="Noto Sans" w:cs="Noto Sans"/>
          <w:sz w:val="20"/>
          <w:szCs w:val="20"/>
        </w:rPr>
      </w:r>
      <w:r w:rsidRPr="00F32B1C">
        <w:rPr>
          <w:rFonts w:ascii="Noto Sans" w:hAnsi="Noto Sans" w:cs="Noto Sans"/>
          <w:sz w:val="20"/>
          <w:szCs w:val="20"/>
        </w:rPr>
        <w:fldChar w:fldCharType="separate"/>
      </w:r>
      <w:r w:rsidRPr="00F32B1C">
        <w:rPr>
          <w:rFonts w:ascii="Noto Sans" w:hAnsi="Noto Sans" w:cs="Noto Sans"/>
          <w:color w:val="0000FF"/>
          <w:sz w:val="20"/>
          <w:szCs w:val="20"/>
          <w:u w:val="single"/>
        </w:rPr>
        <w:t>Jade.Taylor-Salazar@domino-uk.com</w:t>
      </w:r>
      <w:r w:rsidRPr="00F32B1C">
        <w:rPr>
          <w:rFonts w:ascii="Noto Sans" w:hAnsi="Noto Sans" w:cs="Noto Sans"/>
          <w:sz w:val="20"/>
          <w:szCs w:val="20"/>
        </w:rPr>
        <w:fldChar w:fldCharType="end"/>
      </w:r>
      <w:r w:rsidRPr="00F32B1C">
        <w:rPr>
          <w:rFonts w:ascii="Noto Sans" w:hAnsi="Noto Sans" w:cs="Noto Sans"/>
          <w:sz w:val="20"/>
          <w:szCs w:val="20"/>
        </w:rPr>
        <w:br/>
      </w:r>
      <w:r w:rsidRPr="00F32B1C">
        <w:rPr>
          <w:rFonts w:ascii="Noto Sans" w:hAnsi="Noto Sans" w:cs="Noto Sans"/>
          <w:sz w:val="20"/>
          <w:szCs w:val="20"/>
        </w:rPr>
        <w:br/>
      </w:r>
      <w:r w:rsidRPr="00F32B1C">
        <w:rPr>
          <w:rFonts w:ascii="Noto Sans" w:eastAsiaTheme="minorHAnsi" w:hAnsi="Noto Sans" w:cs="Noto Sans"/>
          <w:sz w:val="20"/>
          <w:szCs w:val="20"/>
        </w:rPr>
        <w:t>Jamie Hinton</w:t>
      </w:r>
      <w:r w:rsidRPr="00F32B1C">
        <w:rPr>
          <w:rFonts w:ascii="Noto Sans" w:eastAsiaTheme="minorHAnsi" w:hAnsi="Noto Sans" w:cs="Noto Sans"/>
          <w:b/>
          <w:bCs/>
          <w:sz w:val="20"/>
          <w:szCs w:val="20"/>
        </w:rPr>
        <w:br/>
      </w:r>
      <w:r w:rsidRPr="00F32B1C">
        <w:rPr>
          <w:rFonts w:ascii="Noto Sans" w:eastAsiaTheme="minorHAnsi" w:hAnsi="Noto Sans" w:cs="Noto Sans"/>
          <w:sz w:val="20"/>
          <w:szCs w:val="20"/>
        </w:rPr>
        <w:t xml:space="preserve">Marketing Manager </w:t>
      </w:r>
      <w:r w:rsidRPr="00F32B1C">
        <w:rPr>
          <w:rFonts w:ascii="Noto Sans" w:eastAsiaTheme="minorHAnsi" w:hAnsi="Noto Sans" w:cs="Noto Sans"/>
          <w:sz w:val="20"/>
          <w:szCs w:val="20"/>
        </w:rPr>
        <w:br/>
        <w:t xml:space="preserve">Domino North America </w:t>
      </w:r>
      <w:r w:rsidRPr="00F32B1C">
        <w:rPr>
          <w:rFonts w:ascii="Noto Sans" w:eastAsiaTheme="minorHAnsi" w:hAnsi="Noto Sans" w:cs="Noto Sans"/>
          <w:sz w:val="20"/>
          <w:szCs w:val="20"/>
        </w:rPr>
        <w:br/>
        <w:t>Tel: +1 636-673-3009</w:t>
      </w:r>
      <w:r w:rsidRPr="00F32B1C">
        <w:rPr>
          <w:rFonts w:ascii="Noto Sans" w:eastAsiaTheme="minorHAnsi" w:hAnsi="Noto Sans" w:cs="Noto Sans"/>
          <w:sz w:val="20"/>
          <w:szCs w:val="20"/>
        </w:rPr>
        <w:br/>
      </w:r>
      <w:hyperlink r:id="rId10" w:history="1">
        <w:r w:rsidRPr="00F32B1C">
          <w:rPr>
            <w:rFonts w:ascii="Noto Sans" w:eastAsiaTheme="minorHAnsi" w:hAnsi="Noto Sans" w:cs="Noto Sans"/>
            <w:color w:val="0563C1" w:themeColor="hyperlink"/>
            <w:sz w:val="20"/>
            <w:szCs w:val="20"/>
            <w:u w:val="single"/>
          </w:rPr>
          <w:t>jamie.hinton@domino-na.com</w:t>
        </w:r>
      </w:hyperlink>
      <w:r w:rsidRPr="00F32B1C">
        <w:rPr>
          <w:rFonts w:ascii="Noto Sans" w:hAnsi="Noto Sans" w:cs="Noto Sans"/>
          <w:sz w:val="20"/>
          <w:szCs w:val="20"/>
        </w:rPr>
        <w:br/>
      </w:r>
    </w:p>
    <w:p w14:paraId="5248D6C2" w14:textId="77777777" w:rsidR="00F32B1C" w:rsidRPr="00F32B1C" w:rsidRDefault="00F32B1C" w:rsidP="00F32B1C">
      <w:pPr>
        <w:spacing w:line="240" w:lineRule="auto"/>
        <w:rPr>
          <w:rFonts w:ascii="Noto Sans" w:hAnsi="Noto Sans" w:cs="Noto Sans"/>
          <w:sz w:val="20"/>
          <w:szCs w:val="20"/>
        </w:rPr>
      </w:pPr>
    </w:p>
    <w:p w14:paraId="4F63A12C" w14:textId="77777777" w:rsidR="00F32B1C" w:rsidRPr="00F32B1C" w:rsidRDefault="00F32B1C" w:rsidP="00F32B1C">
      <w:pPr>
        <w:spacing w:after="160" w:line="276" w:lineRule="auto"/>
        <w:jc w:val="both"/>
        <w:rPr>
          <w:rFonts w:asciiTheme="minorHAnsi" w:eastAsiaTheme="minorHAnsi" w:hAnsiTheme="minorHAnsi" w:cstheme="minorBidi"/>
          <w:sz w:val="22"/>
        </w:rPr>
      </w:pPr>
    </w:p>
    <w:p w14:paraId="53EB7C38" w14:textId="77777777" w:rsidR="005524DB" w:rsidRPr="008E7573" w:rsidRDefault="005524DB" w:rsidP="008E7573"/>
    <w:sectPr w:rsidR="005524DB" w:rsidRPr="008E7573" w:rsidSect="000F6D0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F6AA0" w14:textId="77777777" w:rsidR="0076087E" w:rsidRDefault="0076087E" w:rsidP="00785717">
      <w:pPr>
        <w:spacing w:line="240" w:lineRule="auto"/>
      </w:pPr>
      <w:r>
        <w:separator/>
      </w:r>
    </w:p>
  </w:endnote>
  <w:endnote w:type="continuationSeparator" w:id="0">
    <w:p w14:paraId="3B64CB18" w14:textId="77777777" w:rsidR="0076087E" w:rsidRDefault="0076087E"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205F" w:usb2="08000029" w:usb3="00000000" w:csb0="0000019F" w:csb1="00000000"/>
  </w:font>
  <w:font w:name="Segoe UI">
    <w:panose1 w:val="020B0502040204020203"/>
    <w:charset w:val="00"/>
    <w:family w:val="swiss"/>
    <w:pitch w:val="variable"/>
    <w:sig w:usb0="E4002EFF" w:usb1="C000E47F" w:usb2="00000009" w:usb3="00000000" w:csb0="000001FF" w:csb1="00000000"/>
  </w:font>
  <w:font w:name="Gill Sans">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6715E" w14:textId="77777777" w:rsidR="0076087E" w:rsidRDefault="0076087E" w:rsidP="00785717">
      <w:pPr>
        <w:spacing w:line="240" w:lineRule="auto"/>
      </w:pPr>
      <w:r>
        <w:separator/>
      </w:r>
    </w:p>
  </w:footnote>
  <w:footnote w:type="continuationSeparator" w:id="0">
    <w:p w14:paraId="4DBE0C70" w14:textId="77777777" w:rsidR="0076087E" w:rsidRDefault="0076087E"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F6D00"/>
    <w:rsid w:val="00113106"/>
    <w:rsid w:val="001D743C"/>
    <w:rsid w:val="002766D9"/>
    <w:rsid w:val="002C3337"/>
    <w:rsid w:val="003357C2"/>
    <w:rsid w:val="00372E92"/>
    <w:rsid w:val="003D73BB"/>
    <w:rsid w:val="005272B1"/>
    <w:rsid w:val="005524DB"/>
    <w:rsid w:val="005741C7"/>
    <w:rsid w:val="0060122E"/>
    <w:rsid w:val="00647055"/>
    <w:rsid w:val="00660F46"/>
    <w:rsid w:val="00682566"/>
    <w:rsid w:val="0076087E"/>
    <w:rsid w:val="00785717"/>
    <w:rsid w:val="008220B7"/>
    <w:rsid w:val="00823B77"/>
    <w:rsid w:val="008916A8"/>
    <w:rsid w:val="008B6461"/>
    <w:rsid w:val="008E7573"/>
    <w:rsid w:val="008F3E38"/>
    <w:rsid w:val="008F74D8"/>
    <w:rsid w:val="00931996"/>
    <w:rsid w:val="00943A95"/>
    <w:rsid w:val="009A1716"/>
    <w:rsid w:val="009A1DEC"/>
    <w:rsid w:val="009D6280"/>
    <w:rsid w:val="009E564D"/>
    <w:rsid w:val="00A34918"/>
    <w:rsid w:val="00AB11DA"/>
    <w:rsid w:val="00B23C3C"/>
    <w:rsid w:val="00B546C5"/>
    <w:rsid w:val="00BC7C15"/>
    <w:rsid w:val="00C063FE"/>
    <w:rsid w:val="00C44603"/>
    <w:rsid w:val="00C541FE"/>
    <w:rsid w:val="00CF1AD5"/>
    <w:rsid w:val="00E03029"/>
    <w:rsid w:val="00EC1C5A"/>
    <w:rsid w:val="00F32B1C"/>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character" w:styleId="CommentReference">
    <w:name w:val="annotation reference"/>
    <w:basedOn w:val="DefaultParagraphFont"/>
    <w:uiPriority w:val="99"/>
    <w:semiHidden/>
    <w:unhideWhenUsed/>
    <w:rsid w:val="00F32B1C"/>
    <w:rPr>
      <w:sz w:val="16"/>
      <w:szCs w:val="16"/>
    </w:rPr>
  </w:style>
  <w:style w:type="paragraph" w:styleId="CommentText">
    <w:name w:val="annotation text"/>
    <w:basedOn w:val="Normal"/>
    <w:link w:val="CommentTextChar"/>
    <w:uiPriority w:val="99"/>
    <w:unhideWhenUsed/>
    <w:rsid w:val="00F32B1C"/>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F32B1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gov.uk/construction/healthrisks/hazardous-substances/cement.ht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domino-printing.com/en-us/home.aspx?utm_medium=non-paid&amp;utm_source=onlinepublication&amp;utm_content=bandc-beyond-compliance-tlp-na&amp;utm_campaign=2026-int-en-global-pr-cm-fy26-q1"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domino-printing.com/en-us/blog/2025/building-smarter-the-role-of-2d-codes-in-streamlining-coordination?utm_medium=non-paid&amp;utm_source=onlinepublication&amp;utm_content=bandc-beyond-compliance-tlp-na&amp;utm_campaign=2026-int-en-global-pr-cm-fy26-q1"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mailto:jamie.hinton@domino-na.com" TargetMode="External"/><Relationship Id="rId4" Type="http://schemas.openxmlformats.org/officeDocument/2006/relationships/footnotes" Target="footnotes.xml"/><Relationship Id="rId9" Type="http://schemas.openxmlformats.org/officeDocument/2006/relationships/hyperlink" Target="http://www.domino-printing.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1</TotalTime>
  <Pages>5</Pages>
  <Words>1780</Words>
  <Characters>10147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Rachael Cooper</cp:lastModifiedBy>
  <cp:revision>2</cp:revision>
  <dcterms:created xsi:type="dcterms:W3CDTF">2026-07-15T10:31:00Z</dcterms:created>
  <dcterms:modified xsi:type="dcterms:W3CDTF">2026-07-15T10:31:00Z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