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0527" w14:textId="04FEEA45" w:rsidR="00A119DF" w:rsidRPr="005A7D76" w:rsidRDefault="00A119DF">
      <w:pPr>
        <w:spacing w:before="120" w:after="100"/>
        <w:rPr>
          <w:rFonts w:asciiTheme="majorHAnsi" w:hAnsiTheme="majorHAnsi" w:cstheme="majorHAnsi"/>
          <w:b/>
          <w:color w:val="232323"/>
          <w:sz w:val="42"/>
          <w:lang w:val="es-MX"/>
        </w:rPr>
      </w:pPr>
    </w:p>
    <w:p w14:paraId="0FB76546" w14:textId="46BB4D71" w:rsidR="005A7D76" w:rsidRPr="00027527" w:rsidRDefault="00D94676" w:rsidP="005A7D76">
      <w:pPr>
        <w:pStyle w:val="Sinespaciado"/>
        <w:jc w:val="center"/>
        <w:rPr>
          <w:rFonts w:asciiTheme="majorHAnsi" w:hAnsiTheme="majorHAnsi" w:cstheme="majorHAnsi"/>
          <w:b/>
          <w:bCs/>
          <w:sz w:val="36"/>
          <w:szCs w:val="36"/>
          <w:lang w:val="es-MX" w:eastAsia="es-MX"/>
        </w:rPr>
      </w:pPr>
      <w:r w:rsidRPr="00D94676">
        <w:rPr>
          <w:rFonts w:asciiTheme="majorHAnsi" w:hAnsiTheme="majorHAnsi" w:cstheme="majorHAnsi"/>
          <w:b/>
          <w:bCs/>
          <w:sz w:val="36"/>
          <w:szCs w:val="36"/>
          <w:lang w:val="es-MX" w:eastAsia="es-MX"/>
        </w:rPr>
        <w:t>OCESA lleva su estrategia de sostenibilidad a la residencia de Harry Styles con nuevas experiencias para los fans en el Estadio GNP Seguros</w:t>
      </w:r>
    </w:p>
    <w:p w14:paraId="0F19FA7F" w14:textId="77777777" w:rsidR="005A7D76" w:rsidRPr="005A7D76" w:rsidRDefault="005A7D76" w:rsidP="005A7D76">
      <w:pPr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09B4ECD9" w14:textId="0529D21F" w:rsidR="005A7D76" w:rsidRDefault="00D94676" w:rsidP="005A7D76">
      <w:pPr>
        <w:pStyle w:val="Prrafodelista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>La residencia de seis conciertos permitirá poner en marcha un conjunto de iniciativas que forman parte del modelo ESG con el que la compañía diseña y opera sus espectáculos en vivo</w:t>
      </w:r>
      <w:r w:rsidR="005A7D76" w:rsidRPr="005A7D76">
        <w:rPr>
          <w:rFonts w:asciiTheme="majorHAnsi" w:hAnsiTheme="majorHAnsi" w:cstheme="majorHAnsi"/>
          <w:sz w:val="24"/>
          <w:szCs w:val="24"/>
          <w:lang w:val="es-MX" w:eastAsia="es-MX"/>
        </w:rPr>
        <w:t>.</w:t>
      </w:r>
    </w:p>
    <w:p w14:paraId="7BEB3ABC" w14:textId="77777777" w:rsidR="000B2B5D" w:rsidRPr="008234A1" w:rsidRDefault="000B2B5D" w:rsidP="000B2B5D">
      <w:pPr>
        <w:pStyle w:val="Prrafodelista"/>
        <w:jc w:val="both"/>
        <w:rPr>
          <w:rFonts w:asciiTheme="majorHAnsi" w:hAnsiTheme="majorHAnsi" w:cstheme="majorHAnsi"/>
          <w:sz w:val="16"/>
          <w:szCs w:val="16"/>
          <w:lang w:val="es-MX" w:eastAsia="es-MX"/>
        </w:rPr>
      </w:pPr>
    </w:p>
    <w:p w14:paraId="36C59B22" w14:textId="11CDBA95" w:rsidR="000B2B5D" w:rsidRPr="000B2B5D" w:rsidRDefault="00D94676" w:rsidP="000B2B5D">
      <w:pPr>
        <w:pStyle w:val="Prrafodelista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>El Estadio GNP Seguros consolida su papel como uno de los recintos más avanzados del país para impulsar experiencias más responsables, incluyentes e innovadoras para millones de asistentes</w:t>
      </w:r>
      <w:r w:rsidR="000B2B5D" w:rsidRPr="000B2B5D">
        <w:rPr>
          <w:rFonts w:asciiTheme="majorHAnsi" w:hAnsiTheme="majorHAnsi" w:cstheme="majorHAnsi"/>
          <w:sz w:val="24"/>
          <w:szCs w:val="24"/>
          <w:lang w:val="es-MX" w:eastAsia="es-MX"/>
        </w:rPr>
        <w:t>.</w:t>
      </w:r>
    </w:p>
    <w:p w14:paraId="339ED0A9" w14:textId="77777777" w:rsidR="000B2B5D" w:rsidRPr="005A7D76" w:rsidRDefault="000B2B5D" w:rsidP="000B2B5D">
      <w:pPr>
        <w:pStyle w:val="Prrafodelista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58BB4490" w14:textId="1041833A" w:rsidR="00D94676" w:rsidRDefault="005A7D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5A7D76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 xml:space="preserve">Ciudad de México, </w:t>
      </w:r>
      <w:r w:rsidR="00027527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22</w:t>
      </w:r>
      <w:r w:rsidRPr="005A7D76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 xml:space="preserve"> de julio de 2026.</w:t>
      </w:r>
      <w:r w:rsidRPr="005A7D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>Cada evento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del entretenimiento en vivo exige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una compleja operación que moviliza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a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cientos de colaboradores, proveedores, tecnología, infraestructura y recursos.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Consciente de esa responsabilidad, OCESA 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trabaja </w:t>
      </w:r>
      <w:r w:rsidR="008234A1">
        <w:rPr>
          <w:rFonts w:asciiTheme="majorHAnsi" w:hAnsiTheme="majorHAnsi" w:cstheme="majorHAnsi"/>
          <w:sz w:val="24"/>
          <w:szCs w:val="24"/>
          <w:lang w:val="es-MX" w:eastAsia="es-MX"/>
        </w:rPr>
        <w:t>para transformar la manera en que diseña y produce espectáculos mediante una estrategia de sostenibilidad que busca incorporar criterios ambientales, sociales e innovadores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en cada etapa de la operación: desde la planeación hasta la experiencia del fan y el desmontaje del evento.</w:t>
      </w:r>
    </w:p>
    <w:p w14:paraId="2C393144" w14:textId="77777777" w:rsid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3C1F1897" w14:textId="0D67DFC4" w:rsidR="00D94676" w:rsidRDefault="00F272FD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>
        <w:rPr>
          <w:rFonts w:asciiTheme="majorHAnsi" w:hAnsiTheme="majorHAnsi" w:cstheme="majorHAnsi"/>
          <w:sz w:val="24"/>
          <w:szCs w:val="24"/>
          <w:lang w:val="es-MX" w:eastAsia="es-MX"/>
        </w:rPr>
        <w:t>L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>a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residencia de seis conciertos de Harry Styles en el Estadio GNP Seguros 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se convertirá en una ventana de oportunidad en </w:t>
      </w:r>
      <w:r>
        <w:rPr>
          <w:rFonts w:asciiTheme="majorHAnsi" w:hAnsiTheme="majorHAnsi" w:cstheme="majorHAnsi"/>
          <w:sz w:val="24"/>
          <w:szCs w:val="24"/>
          <w:lang w:val="es-MX" w:eastAsia="es-MX"/>
        </w:rPr>
        <w:t>la que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la compañía </w:t>
      </w:r>
      <w:r w:rsidR="00D94676">
        <w:rPr>
          <w:rFonts w:asciiTheme="majorHAnsi" w:hAnsiTheme="majorHAnsi" w:cstheme="majorHAnsi"/>
          <w:sz w:val="24"/>
          <w:szCs w:val="24"/>
          <w:lang w:val="es-MX" w:eastAsia="es-MX"/>
        </w:rPr>
        <w:t>integrará</w:t>
      </w:r>
      <w:r w:rsidR="00D94676"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un conjunto de iniciativas diseñadas para mostrar cómo estos principios pueden traducirse en decisiones operativas concretas que mejoran simultáneamente la experiencia de los asistentes y el desempeño ambiental de un espectáculo.</w:t>
      </w:r>
    </w:p>
    <w:p w14:paraId="2515A329" w14:textId="77777777" w:rsid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4A3AA001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Durante los conciertos, los asistentes encontrarán estaciones gratuitas de hidratación y podrán ingresar con botellas reutilizables; habrá opciones de alimentos basados en plantas distribuidas en todo el recinto, utensilios </w:t>
      </w:r>
      <w:proofErr w:type="spellStart"/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>compostables</w:t>
      </w:r>
      <w:proofErr w:type="spellEnd"/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y reciclables, alternativas de movilidad como Ticket2Ride, estacionamiento para bicicletas y transporte público, además de espacios como la Zona de Padres y otras acciones orientadas a fortalecer la accesibilidad y el bienestar de los asistentes.</w:t>
      </w:r>
    </w:p>
    <w:p w14:paraId="461912A4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4AECF3F8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>Más que acciones independientes, estas iniciativas forman parte de una estrategia que OCESA ha venido desarrollando durante los últimos años para incorporar la sostenibilidad como un criterio permanente de diseño y operación de sus eventos.</w:t>
      </w:r>
    </w:p>
    <w:p w14:paraId="0212DB22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286D54AF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Un estadio preparado para el futuro</w:t>
      </w:r>
    </w:p>
    <w:p w14:paraId="0556934C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3B6BF616" w14:textId="138C4E6B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La estrategia se apoya en las capacidades permanentes de los inmuebles que opera OCESA, particularmente del Estadio GNP Seguros, cuya </w:t>
      </w:r>
      <w:r>
        <w:rPr>
          <w:rFonts w:asciiTheme="majorHAnsi" w:hAnsiTheme="majorHAnsi" w:cstheme="majorHAnsi"/>
          <w:sz w:val="24"/>
          <w:szCs w:val="24"/>
          <w:lang w:val="es-MX" w:eastAsia="es-MX"/>
        </w:rPr>
        <w:t>renovación en 2024</w:t>
      </w: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 incorporó infraestructura orientada a un uso más eficiente de los recursos, incluyendo sanitarios de bajo consumo, mingitorios secos y una cubierta de más de 13,000 m² que sirve para proteger al fan del sol y lluvia.</w:t>
      </w:r>
    </w:p>
    <w:p w14:paraId="51026969" w14:textId="77777777" w:rsidR="00D94676" w:rsidRPr="00D946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25733AEA" w14:textId="6492C1F3" w:rsidR="005A7D76" w:rsidRPr="005A7D76" w:rsidRDefault="00D94676" w:rsidP="00D946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D94676">
        <w:rPr>
          <w:rFonts w:asciiTheme="majorHAnsi" w:hAnsiTheme="majorHAnsi" w:cstheme="majorHAnsi"/>
          <w:sz w:val="24"/>
          <w:szCs w:val="24"/>
          <w:lang w:val="es-MX" w:eastAsia="es-MX"/>
        </w:rPr>
        <w:t>Estos esfuerzos se complementan con iniciativas implementadas en otros recintos del grupo, como la planta de tratamiento de agua de Centro Banamex, los sistemas de iluminación LED y soluciones de energía solar en el Autódromo Hermanos Rodríguez, así como programas permanentes de eficiencia hídrica y energética en el Palacio de los Deportes</w:t>
      </w:r>
      <w:r w:rsidR="005A7D76" w:rsidRPr="005A7D76">
        <w:rPr>
          <w:rFonts w:asciiTheme="majorHAnsi" w:hAnsiTheme="majorHAnsi" w:cstheme="majorHAnsi"/>
          <w:sz w:val="24"/>
          <w:szCs w:val="24"/>
          <w:lang w:val="es-MX" w:eastAsia="es-MX"/>
        </w:rPr>
        <w:t>.</w:t>
      </w:r>
    </w:p>
    <w:p w14:paraId="42388EB2" w14:textId="77777777" w:rsidR="005A7D76" w:rsidRDefault="005A7D76" w:rsidP="005A7D76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00501ED1" w14:textId="77777777" w:rsidR="00436CBC" w:rsidRPr="00436CBC" w:rsidRDefault="00436CBC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Una nueva manera de producir espectáculos</w:t>
      </w:r>
    </w:p>
    <w:p w14:paraId="1CBAE855" w14:textId="77777777" w:rsidR="00436CBC" w:rsidRPr="00436CBC" w:rsidRDefault="00436CBC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496FC565" w14:textId="77777777" w:rsidR="00436CBC" w:rsidRPr="00436CBC" w:rsidRDefault="00436CBC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El modelo de sostenibilidad de OCESA integra cinco grandes ejes:</w:t>
      </w:r>
    </w:p>
    <w:p w14:paraId="5FF4849D" w14:textId="77777777" w:rsidR="00436CBC" w:rsidRPr="00436CBC" w:rsidRDefault="00436CBC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0BAC754B" w14:textId="6548CF76" w:rsidR="00436CBC" w:rsidRPr="00436CBC" w:rsidRDefault="00436CBC" w:rsidP="00436CBC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Infraestructura preparada para el futuro</w:t>
      </w: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, con recintos diseñados y equipados para optimizar el uso de recursos, incorporando soluciones que fortalecen la eficiencia operativa y la experiencia de los asistentes.</w:t>
      </w:r>
    </w:p>
    <w:p w14:paraId="721C789D" w14:textId="354BC513" w:rsidR="00436CBC" w:rsidRPr="00436CBC" w:rsidRDefault="00436CBC" w:rsidP="00436CBC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Economía circular</w:t>
      </w: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, mediante programas de reciclaje, compostaje, eliminación de plásticos de un solo uso y valorización de materiales.</w:t>
      </w:r>
    </w:p>
    <w:p w14:paraId="494C0BFB" w14:textId="77777777" w:rsidR="00436CBC" w:rsidRPr="00436CBC" w:rsidRDefault="00436CBC" w:rsidP="00436CBC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Innovación tecnológica</w:t>
      </w: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, mediante procesos digitales y soluciones que optimizan la operación de los eventos, reducen el consumo de materiales físicos y contribuyen a una gestión más eficiente de los recursos.</w:t>
      </w:r>
    </w:p>
    <w:p w14:paraId="05747A39" w14:textId="77777777" w:rsidR="00436CBC" w:rsidRPr="00436CBC" w:rsidRDefault="00436CBC" w:rsidP="00436CBC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Operaciones más eficientes</w:t>
      </w: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, impulsando alternativas de movilidad sostenible como Ticket2Ride para fomentar el transporte colectivo y reducir el uso del automóvil particular. Asimismo, las residencias y las múltiples fechas de un mismo artista, además de responder a la demanda del público, permiten aprovechar durante más tiempo escenarios, equipos e infraestructura instalada, reduciendo montajes y desmontajes sucesivos y favoreciendo un uso más eficiente de los recursos operativos.</w:t>
      </w:r>
    </w:p>
    <w:p w14:paraId="6EB60838" w14:textId="5958A552" w:rsidR="00436CBC" w:rsidRDefault="00436CBC" w:rsidP="0065166A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b/>
          <w:bCs/>
          <w:sz w:val="24"/>
          <w:szCs w:val="24"/>
          <w:lang w:val="es-MX" w:eastAsia="es-MX"/>
        </w:rPr>
        <w:t>Entretenimiento incluyente</w:t>
      </w: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 xml:space="preserve">, mediante iniciativas como VIBRA, que acerca la experiencia de los espectáculos en vivo a personas sordas a través de intérpretes de Lengua de Señas Mexicana y chalecos sensoriales; y Anfitrión Incluyente, un programa de acompañamiento personalizado para personas con discapacidad durante su experiencia en los recintos. </w:t>
      </w:r>
    </w:p>
    <w:p w14:paraId="65EE079A" w14:textId="77777777" w:rsidR="00436CBC" w:rsidRPr="00436CBC" w:rsidRDefault="00436CBC" w:rsidP="00436CBC">
      <w:pPr>
        <w:pStyle w:val="Sinespaciado"/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48FB7024" w14:textId="2484ED16" w:rsidR="00436CBC" w:rsidRDefault="00436CBC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  <w:r w:rsidRPr="00436CBC">
        <w:rPr>
          <w:rFonts w:asciiTheme="majorHAnsi" w:hAnsiTheme="majorHAnsi" w:cstheme="majorHAnsi"/>
          <w:sz w:val="24"/>
          <w:szCs w:val="24"/>
          <w:lang w:val="es-MX" w:eastAsia="es-MX"/>
        </w:rPr>
        <w:t>Con este modelo, OCESA busca contribuir a que México continúe consolidándose como uno de los mercados más relevantes para las giras internacionales y como un referente en la adopción de mejores prácticas para la producción responsable de espectáculos.</w:t>
      </w:r>
    </w:p>
    <w:p w14:paraId="43E852F0" w14:textId="77777777" w:rsidR="008234A1" w:rsidRDefault="008234A1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3F6325F9" w14:textId="77777777" w:rsidR="008234A1" w:rsidRDefault="008234A1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6D23CD13" w14:textId="77777777" w:rsidR="008234A1" w:rsidRPr="008234A1" w:rsidRDefault="008234A1" w:rsidP="008234A1">
      <w:pPr>
        <w:pStyle w:val="Sinespaciado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es-MX" w:eastAsia="es-MX"/>
        </w:rPr>
      </w:pPr>
      <w:r w:rsidRPr="008234A1">
        <w:rPr>
          <w:rFonts w:asciiTheme="majorHAnsi" w:hAnsiTheme="majorHAnsi" w:cstheme="majorHAnsi"/>
          <w:b/>
          <w:bCs/>
          <w:sz w:val="20"/>
          <w:szCs w:val="20"/>
          <w:lang w:val="es-MX" w:eastAsia="es-MX"/>
        </w:rPr>
        <w:t>Sobre OCESA</w:t>
      </w:r>
    </w:p>
    <w:p w14:paraId="117F4140" w14:textId="77777777" w:rsidR="008234A1" w:rsidRPr="008234A1" w:rsidRDefault="008234A1" w:rsidP="008234A1">
      <w:pPr>
        <w:pStyle w:val="Sinespaciado"/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es-MX" w:eastAsia="es-MX"/>
        </w:rPr>
      </w:pPr>
      <w:r w:rsidRPr="008234A1">
        <w:rPr>
          <w:rFonts w:asciiTheme="majorHAnsi" w:hAnsiTheme="majorHAnsi" w:cstheme="majorHAnsi"/>
          <w:sz w:val="20"/>
          <w:szCs w:val="20"/>
          <w:lang w:val="es-MX" w:eastAsia="es-MX"/>
        </w:rPr>
        <w:t xml:space="preserve">OCESA es la empresa de entretenimiento en vivo líder en México y desde 2019, forma parte de Live Nation </w:t>
      </w:r>
      <w:proofErr w:type="spellStart"/>
      <w:r w:rsidRPr="008234A1">
        <w:rPr>
          <w:rFonts w:asciiTheme="majorHAnsi" w:hAnsiTheme="majorHAnsi" w:cstheme="majorHAnsi"/>
          <w:sz w:val="20"/>
          <w:szCs w:val="20"/>
          <w:lang w:val="es-MX" w:eastAsia="es-MX"/>
        </w:rPr>
        <w:t>Entertainment</w:t>
      </w:r>
      <w:proofErr w:type="spellEnd"/>
      <w:r w:rsidRPr="008234A1">
        <w:rPr>
          <w:rFonts w:asciiTheme="majorHAnsi" w:hAnsiTheme="majorHAnsi" w:cstheme="majorHAnsi"/>
          <w:sz w:val="20"/>
          <w:szCs w:val="20"/>
          <w:lang w:val="es-MX" w:eastAsia="es-MX"/>
        </w:rPr>
        <w:t xml:space="preserve">, la empresa promotora de eventos más grande y reconocida a nivel mundial. Para más información y conocer más eventos, visita </w:t>
      </w:r>
      <w:hyperlink r:id="rId8">
        <w:r w:rsidRPr="008234A1">
          <w:rPr>
            <w:rFonts w:asciiTheme="majorHAnsi" w:hAnsiTheme="majorHAnsi" w:cstheme="majorHAnsi"/>
            <w:sz w:val="20"/>
            <w:szCs w:val="20"/>
            <w:lang w:val="es-MX" w:eastAsia="es-MX"/>
          </w:rPr>
          <w:t>www.ocesa.com.mx</w:t>
        </w:r>
      </w:hyperlink>
      <w:r w:rsidRPr="008234A1">
        <w:rPr>
          <w:rFonts w:asciiTheme="majorHAnsi" w:hAnsiTheme="majorHAnsi" w:cstheme="majorHAnsi"/>
          <w:sz w:val="20"/>
          <w:szCs w:val="20"/>
          <w:lang w:val="es-MX" w:eastAsia="es-MX"/>
        </w:rPr>
        <w:t>. Sigue a OCESA en Twitter: @ocesa_total, Facebook: @OCESAmx e Instagram: @OCESA.</w:t>
      </w:r>
    </w:p>
    <w:p w14:paraId="008E4619" w14:textId="77777777" w:rsidR="008234A1" w:rsidRPr="005A7D76" w:rsidRDefault="008234A1" w:rsidP="00436CBC">
      <w:pPr>
        <w:pStyle w:val="Sinespaciado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p w14:paraId="16290148" w14:textId="1C7B93B0" w:rsidR="00A119DF" w:rsidRPr="005A7D76" w:rsidRDefault="00A119DF" w:rsidP="005A7D76">
      <w:pPr>
        <w:jc w:val="both"/>
        <w:rPr>
          <w:rFonts w:asciiTheme="majorHAnsi" w:hAnsiTheme="majorHAnsi" w:cstheme="majorHAnsi"/>
          <w:sz w:val="24"/>
          <w:szCs w:val="24"/>
          <w:lang w:val="es-MX" w:eastAsia="es-MX"/>
        </w:rPr>
      </w:pPr>
    </w:p>
    <w:sectPr w:rsidR="00A119DF" w:rsidRPr="005A7D76" w:rsidSect="00F272FD">
      <w:headerReference w:type="default" r:id="rId9"/>
      <w:footerReference w:type="default" r:id="rId10"/>
      <w:headerReference w:type="first" r:id="rId11"/>
      <w:pgSz w:w="12240" w:h="15840"/>
      <w:pgMar w:top="426" w:right="1152" w:bottom="835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3EEC" w14:textId="77777777" w:rsidR="00C91C94" w:rsidRDefault="00C91C94">
      <w:pPr>
        <w:spacing w:after="0"/>
      </w:pPr>
      <w:r>
        <w:separator/>
      </w:r>
    </w:p>
  </w:endnote>
  <w:endnote w:type="continuationSeparator" w:id="0">
    <w:p w14:paraId="6B35A41A" w14:textId="77777777" w:rsidR="00C91C94" w:rsidRDefault="00C91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AE34" w14:textId="2A1ECB5D" w:rsidR="002B6E3F" w:rsidRDefault="002B6E3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CD8C" w14:textId="77777777" w:rsidR="00C91C94" w:rsidRDefault="00C91C94">
      <w:pPr>
        <w:spacing w:after="0"/>
      </w:pPr>
      <w:r>
        <w:separator/>
      </w:r>
    </w:p>
  </w:footnote>
  <w:footnote w:type="continuationSeparator" w:id="0">
    <w:p w14:paraId="4BA5022B" w14:textId="77777777" w:rsidR="00C91C94" w:rsidRDefault="00C91C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5958" w14:textId="457DA765" w:rsidR="002B6E3F" w:rsidRDefault="002B6E3F" w:rsidP="00A119D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EB30" w14:textId="008BB7B8" w:rsidR="00F272FD" w:rsidRDefault="00F272F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3C226" wp14:editId="779591FE">
          <wp:simplePos x="0" y="0"/>
          <wp:positionH relativeFrom="margin">
            <wp:posOffset>-285750</wp:posOffset>
          </wp:positionH>
          <wp:positionV relativeFrom="paragraph">
            <wp:posOffset>-190500</wp:posOffset>
          </wp:positionV>
          <wp:extent cx="1678940" cy="620986"/>
          <wp:effectExtent l="0" t="0" r="0" b="8255"/>
          <wp:wrapSquare wrapText="bothSides"/>
          <wp:docPr id="371385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37530" name="Imagen 845737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940" cy="620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8603B"/>
    <w:multiLevelType w:val="multilevel"/>
    <w:tmpl w:val="1F2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E310A"/>
    <w:multiLevelType w:val="hybridMultilevel"/>
    <w:tmpl w:val="4E660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40938">
      <w:start w:val="9"/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6FD3"/>
    <w:multiLevelType w:val="multilevel"/>
    <w:tmpl w:val="8CA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154B2"/>
    <w:multiLevelType w:val="hybridMultilevel"/>
    <w:tmpl w:val="0FFA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20B"/>
    <w:multiLevelType w:val="multilevel"/>
    <w:tmpl w:val="E51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E6D83"/>
    <w:multiLevelType w:val="hybridMultilevel"/>
    <w:tmpl w:val="0F941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B0DBB"/>
    <w:multiLevelType w:val="hybridMultilevel"/>
    <w:tmpl w:val="6A7EB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F1E8F"/>
    <w:multiLevelType w:val="hybridMultilevel"/>
    <w:tmpl w:val="1242E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25130">
    <w:abstractNumId w:val="8"/>
  </w:num>
  <w:num w:numId="2" w16cid:durableId="277294767">
    <w:abstractNumId w:val="6"/>
  </w:num>
  <w:num w:numId="3" w16cid:durableId="1039863843">
    <w:abstractNumId w:val="5"/>
  </w:num>
  <w:num w:numId="4" w16cid:durableId="1680428761">
    <w:abstractNumId w:val="4"/>
  </w:num>
  <w:num w:numId="5" w16cid:durableId="1149438034">
    <w:abstractNumId w:val="7"/>
  </w:num>
  <w:num w:numId="6" w16cid:durableId="1774205846">
    <w:abstractNumId w:val="3"/>
  </w:num>
  <w:num w:numId="7" w16cid:durableId="2126484">
    <w:abstractNumId w:val="2"/>
  </w:num>
  <w:num w:numId="8" w16cid:durableId="1974409763">
    <w:abstractNumId w:val="1"/>
  </w:num>
  <w:num w:numId="9" w16cid:durableId="1661807967">
    <w:abstractNumId w:val="0"/>
  </w:num>
  <w:num w:numId="10" w16cid:durableId="466510394">
    <w:abstractNumId w:val="10"/>
  </w:num>
  <w:num w:numId="11" w16cid:durableId="1217165555">
    <w:abstractNumId w:val="14"/>
  </w:num>
  <w:num w:numId="12" w16cid:durableId="55782521">
    <w:abstractNumId w:val="9"/>
  </w:num>
  <w:num w:numId="13" w16cid:durableId="359210298">
    <w:abstractNumId w:val="13"/>
  </w:num>
  <w:num w:numId="14" w16cid:durableId="930552504">
    <w:abstractNumId w:val="11"/>
  </w:num>
  <w:num w:numId="15" w16cid:durableId="801652799">
    <w:abstractNumId w:val="16"/>
  </w:num>
  <w:num w:numId="16" w16cid:durableId="1261983261">
    <w:abstractNumId w:val="15"/>
  </w:num>
  <w:num w:numId="17" w16cid:durableId="1120874629">
    <w:abstractNumId w:val="10"/>
  </w:num>
  <w:num w:numId="18" w16cid:durableId="1502700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527"/>
    <w:rsid w:val="00034616"/>
    <w:rsid w:val="0006063C"/>
    <w:rsid w:val="00086ACF"/>
    <w:rsid w:val="000B2B5D"/>
    <w:rsid w:val="000F1BDD"/>
    <w:rsid w:val="0015074B"/>
    <w:rsid w:val="001B7F92"/>
    <w:rsid w:val="0029639D"/>
    <w:rsid w:val="002B6E3F"/>
    <w:rsid w:val="00326F90"/>
    <w:rsid w:val="003339D8"/>
    <w:rsid w:val="00344A52"/>
    <w:rsid w:val="00436CBC"/>
    <w:rsid w:val="005758A6"/>
    <w:rsid w:val="005A7D76"/>
    <w:rsid w:val="006102B5"/>
    <w:rsid w:val="0067635E"/>
    <w:rsid w:val="008234A1"/>
    <w:rsid w:val="00A119DF"/>
    <w:rsid w:val="00AA1D8D"/>
    <w:rsid w:val="00B47730"/>
    <w:rsid w:val="00C91C94"/>
    <w:rsid w:val="00C96BEB"/>
    <w:rsid w:val="00CB0664"/>
    <w:rsid w:val="00D94676"/>
    <w:rsid w:val="00DA2AFD"/>
    <w:rsid w:val="00F272FD"/>
    <w:rsid w:val="00F3092F"/>
    <w:rsid w:val="00F57F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86158"/>
  <w14:defaultImageDpi w14:val="300"/>
  <w15:docId w15:val="{F8376630-B0D5-4468-BB32-0D0671E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40" w:lineRule="auto"/>
    </w:pPr>
    <w:rPr>
      <w:rFonts w:ascii="Arial" w:hAnsi="Arial"/>
      <w:sz w:val="19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119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778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sostenibilidad se consolida como un nuevo estándar del entretenimiento en vivo en México</vt:lpstr>
      <vt:lpstr/>
    </vt:vector>
  </TitlesOfParts>
  <Manager/>
  <Company/>
  <LinksUpToDate>false</LinksUpToDate>
  <CharactersWithSpaces>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sostenibilidad se consolida como un nuevo estándar del entretenimiento en vivo en México</dc:title>
  <dc:subject>Propuesta de boletín de prensa OCESA</dc:subject>
  <dc:creator>OCESA</dc:creator>
  <cp:keywords/>
  <dc:description>generated by python-docx</dc:description>
  <cp:lastModifiedBy>María Fernanda Martínez Domínguez</cp:lastModifiedBy>
  <cp:revision>3</cp:revision>
  <dcterms:created xsi:type="dcterms:W3CDTF">2026-07-22T17:48:00Z</dcterms:created>
  <dcterms:modified xsi:type="dcterms:W3CDTF">2026-07-22T17:53:00Z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f348336f-03f1-4cb9-8423-3db350f04c45</vt:lpwstr>
  </property>
</Properties>
</file>