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8E8D2" w14:textId="187A2465" w:rsidR="0001791C" w:rsidRPr="001E600B" w:rsidRDefault="0001791C" w:rsidP="001E600B">
      <w:pPr>
        <w:widowControl w:val="0"/>
        <w:pBdr>
          <w:top w:val="nil"/>
          <w:left w:val="nil"/>
          <w:bottom w:val="nil"/>
          <w:right w:val="nil"/>
          <w:between w:val="nil"/>
        </w:pBdr>
        <w:spacing w:line="240" w:lineRule="auto"/>
        <w:jc w:val="both"/>
        <w:rPr>
          <w:color w:val="000000"/>
          <w:sz w:val="20"/>
          <w:szCs w:val="20"/>
        </w:rPr>
      </w:pPr>
    </w:p>
    <w:p w14:paraId="637F7E09" w14:textId="134DAC20" w:rsidR="001E600B" w:rsidRDefault="001E600B" w:rsidP="001E600B">
      <w:pPr>
        <w:widowControl w:val="0"/>
        <w:pBdr>
          <w:top w:val="nil"/>
          <w:left w:val="nil"/>
          <w:bottom w:val="nil"/>
          <w:right w:val="nil"/>
          <w:between w:val="nil"/>
        </w:pBdr>
        <w:spacing w:line="240" w:lineRule="auto"/>
        <w:jc w:val="center"/>
        <w:rPr>
          <w:b/>
          <w:bCs/>
          <w:color w:val="000000"/>
          <w:sz w:val="20"/>
          <w:szCs w:val="20"/>
        </w:rPr>
      </w:pPr>
    </w:p>
    <w:p w14:paraId="7773117E" w14:textId="42ACF439" w:rsidR="001043F9" w:rsidRDefault="001043F9" w:rsidP="001E600B">
      <w:pPr>
        <w:widowControl w:val="0"/>
        <w:pBdr>
          <w:top w:val="nil"/>
          <w:left w:val="nil"/>
          <w:bottom w:val="nil"/>
          <w:right w:val="nil"/>
          <w:between w:val="nil"/>
        </w:pBdr>
        <w:spacing w:line="240" w:lineRule="auto"/>
        <w:jc w:val="center"/>
        <w:rPr>
          <w:b/>
          <w:bCs/>
          <w:color w:val="000000"/>
          <w:sz w:val="20"/>
          <w:szCs w:val="20"/>
        </w:rPr>
      </w:pPr>
      <w:r>
        <w:rPr>
          <w:b/>
          <w:bCs/>
          <w:color w:val="000000"/>
          <w:sz w:val="20"/>
          <w:szCs w:val="20"/>
        </w:rPr>
        <w:t>Ponad 3 mld EUR w nieruchomościach komercyjnych</w:t>
      </w:r>
    </w:p>
    <w:p w14:paraId="55EA3B34" w14:textId="77777777" w:rsidR="001E600B" w:rsidRPr="001E600B" w:rsidRDefault="001E600B" w:rsidP="001E600B">
      <w:pPr>
        <w:widowControl w:val="0"/>
        <w:pBdr>
          <w:top w:val="nil"/>
          <w:left w:val="nil"/>
          <w:bottom w:val="nil"/>
          <w:right w:val="nil"/>
          <w:between w:val="nil"/>
        </w:pBdr>
        <w:spacing w:line="240" w:lineRule="auto"/>
        <w:jc w:val="center"/>
        <w:rPr>
          <w:b/>
          <w:bCs/>
          <w:color w:val="000000"/>
          <w:sz w:val="20"/>
          <w:szCs w:val="20"/>
        </w:rPr>
      </w:pPr>
    </w:p>
    <w:p w14:paraId="2D131835" w14:textId="32782579" w:rsidR="001E600B" w:rsidRDefault="001E600B" w:rsidP="001E600B">
      <w:pPr>
        <w:widowControl w:val="0"/>
        <w:pBdr>
          <w:top w:val="nil"/>
          <w:left w:val="nil"/>
          <w:bottom w:val="nil"/>
          <w:right w:val="nil"/>
          <w:between w:val="nil"/>
        </w:pBdr>
        <w:spacing w:line="240" w:lineRule="auto"/>
        <w:jc w:val="both"/>
        <w:rPr>
          <w:b/>
          <w:bCs/>
          <w:color w:val="000000"/>
          <w:sz w:val="20"/>
          <w:szCs w:val="20"/>
        </w:rPr>
      </w:pPr>
      <w:r w:rsidRPr="001E600B">
        <w:rPr>
          <w:b/>
          <w:bCs/>
          <w:color w:val="000000"/>
          <w:sz w:val="20"/>
          <w:szCs w:val="20"/>
        </w:rPr>
        <w:t xml:space="preserve">Wartość transakcji inwestycyjnych na polskim rynku nieruchomości komercyjnych osiągnęła w pierwszej połowie 2026 roku 3,06 mld EUR, co oznacza wzrost o blisko 80% rok do roku. Ożywienie objęło wszystkie główne sektory rynku – od handlu i magazynów, przez biura, po sektor </w:t>
      </w:r>
      <w:r w:rsidR="00861677">
        <w:rPr>
          <w:b/>
          <w:bCs/>
          <w:color w:val="000000"/>
          <w:sz w:val="20"/>
          <w:szCs w:val="20"/>
        </w:rPr>
        <w:t xml:space="preserve">living. </w:t>
      </w:r>
      <w:r w:rsidRPr="001E600B">
        <w:rPr>
          <w:b/>
          <w:bCs/>
          <w:color w:val="000000"/>
          <w:sz w:val="20"/>
          <w:szCs w:val="20"/>
        </w:rPr>
        <w:t xml:space="preserve">Coraz wyraźniej zmienia się również profil krajowego kapitału. </w:t>
      </w:r>
      <w:r w:rsidR="001043F9">
        <w:rPr>
          <w:b/>
          <w:bCs/>
          <w:color w:val="000000"/>
          <w:sz w:val="20"/>
          <w:szCs w:val="20"/>
        </w:rPr>
        <w:t>Zwłaszcza</w:t>
      </w:r>
      <w:r w:rsidR="001043F9" w:rsidRPr="001E600B">
        <w:rPr>
          <w:b/>
          <w:bCs/>
          <w:color w:val="000000"/>
          <w:sz w:val="20"/>
          <w:szCs w:val="20"/>
        </w:rPr>
        <w:t xml:space="preserve"> </w:t>
      </w:r>
      <w:r w:rsidRPr="001E600B">
        <w:rPr>
          <w:b/>
          <w:bCs/>
          <w:color w:val="000000"/>
          <w:sz w:val="20"/>
          <w:szCs w:val="20"/>
        </w:rPr>
        <w:t>na rynku biurowym polscy inwestorzy odpowiadają już za największą liczbę zawieranych transakcji i coraz częściej konkurują o aktywa typu Core+.</w:t>
      </w:r>
    </w:p>
    <w:p w14:paraId="6A85F272" w14:textId="77777777" w:rsidR="001E600B" w:rsidRPr="001E600B" w:rsidRDefault="001E600B" w:rsidP="001E600B">
      <w:pPr>
        <w:widowControl w:val="0"/>
        <w:pBdr>
          <w:top w:val="nil"/>
          <w:left w:val="nil"/>
          <w:bottom w:val="nil"/>
          <w:right w:val="nil"/>
          <w:between w:val="nil"/>
        </w:pBdr>
        <w:spacing w:line="240" w:lineRule="auto"/>
        <w:jc w:val="both"/>
        <w:rPr>
          <w:b/>
          <w:bCs/>
          <w:color w:val="000000"/>
          <w:sz w:val="20"/>
          <w:szCs w:val="20"/>
        </w:rPr>
      </w:pPr>
    </w:p>
    <w:p w14:paraId="5094632C" w14:textId="36A47EF3" w:rsidR="001E600B" w:rsidRPr="001E600B" w:rsidRDefault="001E600B" w:rsidP="001E600B">
      <w:pPr>
        <w:widowControl w:val="0"/>
        <w:pBdr>
          <w:top w:val="nil"/>
          <w:left w:val="nil"/>
          <w:bottom w:val="nil"/>
          <w:right w:val="nil"/>
          <w:between w:val="nil"/>
        </w:pBdr>
        <w:spacing w:line="240" w:lineRule="auto"/>
        <w:jc w:val="both"/>
        <w:rPr>
          <w:b/>
          <w:bCs/>
          <w:color w:val="000000"/>
          <w:sz w:val="20"/>
          <w:szCs w:val="20"/>
        </w:rPr>
      </w:pPr>
      <w:r w:rsidRPr="001E600B">
        <w:rPr>
          <w:color w:val="000000"/>
          <w:sz w:val="20"/>
          <w:szCs w:val="20"/>
        </w:rPr>
        <w:t xml:space="preserve">– </w:t>
      </w:r>
      <w:r w:rsidRPr="001E600B">
        <w:rPr>
          <w:i/>
          <w:iCs/>
          <w:color w:val="000000"/>
          <w:sz w:val="20"/>
          <w:szCs w:val="20"/>
        </w:rPr>
        <w:t xml:space="preserve">Pierwsze półrocze potwierdziło powrót płynności na rynku inwestycyjnym. Obserwujemy większą gotowość inwestorów do realizacji dużych transakcji, poprawę warunków finansowania oraz rosnącą konkurencję o najlepsze aktywa. Co istotne, aktywność widoczna jest praktycznie we wszystkich segmentach rynku, co pokazuje, że ożywienie ma </w:t>
      </w:r>
      <w:r w:rsidR="00D12461">
        <w:rPr>
          <w:i/>
          <w:iCs/>
          <w:color w:val="000000"/>
          <w:sz w:val="20"/>
          <w:szCs w:val="20"/>
        </w:rPr>
        <w:t>mocne</w:t>
      </w:r>
      <w:r w:rsidRPr="001E600B">
        <w:rPr>
          <w:i/>
          <w:iCs/>
          <w:color w:val="000000"/>
          <w:sz w:val="20"/>
          <w:szCs w:val="20"/>
        </w:rPr>
        <w:t xml:space="preserve"> fundamenty</w:t>
      </w:r>
      <w:r w:rsidRPr="001E600B">
        <w:rPr>
          <w:color w:val="000000"/>
          <w:sz w:val="20"/>
          <w:szCs w:val="20"/>
        </w:rPr>
        <w:t xml:space="preserve"> – mówi </w:t>
      </w:r>
      <w:r w:rsidRPr="001E600B">
        <w:rPr>
          <w:b/>
          <w:bCs/>
          <w:color w:val="000000"/>
          <w:sz w:val="20"/>
          <w:szCs w:val="20"/>
        </w:rPr>
        <w:t>Paweł Partyka, Head of Capital Markets Poland, Cushman &amp; Wakefield.</w:t>
      </w:r>
    </w:p>
    <w:p w14:paraId="00642951" w14:textId="77777777" w:rsidR="001E600B" w:rsidRPr="001E600B" w:rsidRDefault="001E600B" w:rsidP="001E600B">
      <w:pPr>
        <w:widowControl w:val="0"/>
        <w:pBdr>
          <w:top w:val="nil"/>
          <w:left w:val="nil"/>
          <w:bottom w:val="nil"/>
          <w:right w:val="nil"/>
          <w:between w:val="nil"/>
        </w:pBdr>
        <w:spacing w:line="240" w:lineRule="auto"/>
        <w:jc w:val="both"/>
        <w:rPr>
          <w:color w:val="000000"/>
          <w:sz w:val="20"/>
          <w:szCs w:val="20"/>
        </w:rPr>
      </w:pPr>
    </w:p>
    <w:p w14:paraId="67AD787B" w14:textId="77777777" w:rsidR="001E600B" w:rsidRPr="001E600B" w:rsidRDefault="001E600B" w:rsidP="001E600B">
      <w:pPr>
        <w:widowControl w:val="0"/>
        <w:pBdr>
          <w:top w:val="nil"/>
          <w:left w:val="nil"/>
          <w:bottom w:val="nil"/>
          <w:right w:val="nil"/>
          <w:between w:val="nil"/>
        </w:pBdr>
        <w:spacing w:line="240" w:lineRule="auto"/>
        <w:jc w:val="both"/>
        <w:rPr>
          <w:b/>
          <w:bCs/>
          <w:color w:val="000000"/>
          <w:sz w:val="20"/>
          <w:szCs w:val="20"/>
        </w:rPr>
      </w:pPr>
      <w:r w:rsidRPr="001E600B">
        <w:rPr>
          <w:b/>
          <w:bCs/>
          <w:color w:val="000000"/>
          <w:sz w:val="20"/>
          <w:szCs w:val="20"/>
        </w:rPr>
        <w:t>Handel ponownie liderem rynku</w:t>
      </w:r>
    </w:p>
    <w:p w14:paraId="67D89B80" w14:textId="77777777" w:rsidR="001E600B" w:rsidRPr="001E600B" w:rsidRDefault="001E600B" w:rsidP="001E600B">
      <w:pPr>
        <w:widowControl w:val="0"/>
        <w:pBdr>
          <w:top w:val="nil"/>
          <w:left w:val="nil"/>
          <w:bottom w:val="nil"/>
          <w:right w:val="nil"/>
          <w:between w:val="nil"/>
        </w:pBdr>
        <w:spacing w:line="240" w:lineRule="auto"/>
        <w:jc w:val="both"/>
        <w:rPr>
          <w:color w:val="000000"/>
          <w:sz w:val="20"/>
          <w:szCs w:val="20"/>
        </w:rPr>
      </w:pPr>
    </w:p>
    <w:p w14:paraId="0AA33E68" w14:textId="77777777" w:rsidR="001E600B" w:rsidRDefault="001E600B" w:rsidP="001E600B">
      <w:pPr>
        <w:widowControl w:val="0"/>
        <w:pBdr>
          <w:top w:val="nil"/>
          <w:left w:val="nil"/>
          <w:bottom w:val="nil"/>
          <w:right w:val="nil"/>
          <w:between w:val="nil"/>
        </w:pBdr>
        <w:spacing w:line="240" w:lineRule="auto"/>
        <w:jc w:val="both"/>
        <w:rPr>
          <w:color w:val="000000"/>
          <w:sz w:val="20"/>
          <w:szCs w:val="20"/>
        </w:rPr>
      </w:pPr>
      <w:r w:rsidRPr="001E600B">
        <w:rPr>
          <w:color w:val="000000"/>
          <w:sz w:val="20"/>
          <w:szCs w:val="20"/>
        </w:rPr>
        <w:t xml:space="preserve">Największy wolumen inwestycyjny w pierwszej połowie roku odnotował sektor handlowy, w którym sfinalizowano transakcje o łącznej wartości </w:t>
      </w:r>
      <w:r>
        <w:rPr>
          <w:color w:val="000000"/>
          <w:sz w:val="20"/>
          <w:szCs w:val="20"/>
        </w:rPr>
        <w:t xml:space="preserve">ponad </w:t>
      </w:r>
      <w:r w:rsidRPr="001E600B">
        <w:rPr>
          <w:color w:val="000000"/>
          <w:sz w:val="20"/>
          <w:szCs w:val="20"/>
        </w:rPr>
        <w:t xml:space="preserve">1 mld EUR. </w:t>
      </w:r>
    </w:p>
    <w:p w14:paraId="46F9F619" w14:textId="77777777" w:rsidR="001E600B" w:rsidRDefault="001E600B" w:rsidP="001E600B">
      <w:pPr>
        <w:widowControl w:val="0"/>
        <w:pBdr>
          <w:top w:val="nil"/>
          <w:left w:val="nil"/>
          <w:bottom w:val="nil"/>
          <w:right w:val="nil"/>
          <w:between w:val="nil"/>
        </w:pBdr>
        <w:spacing w:line="240" w:lineRule="auto"/>
        <w:jc w:val="both"/>
        <w:rPr>
          <w:color w:val="000000"/>
          <w:sz w:val="20"/>
          <w:szCs w:val="20"/>
        </w:rPr>
      </w:pPr>
    </w:p>
    <w:p w14:paraId="4CCD071F" w14:textId="7A352F5D" w:rsidR="001E600B" w:rsidRDefault="001E600B" w:rsidP="001E600B">
      <w:pPr>
        <w:widowControl w:val="0"/>
        <w:pBdr>
          <w:top w:val="nil"/>
          <w:left w:val="nil"/>
          <w:bottom w:val="nil"/>
          <w:right w:val="nil"/>
          <w:between w:val="nil"/>
        </w:pBdr>
        <w:spacing w:line="240" w:lineRule="auto"/>
        <w:jc w:val="both"/>
        <w:rPr>
          <w:color w:val="000000"/>
          <w:sz w:val="20"/>
          <w:szCs w:val="20"/>
        </w:rPr>
      </w:pPr>
      <w:r w:rsidRPr="001E600B">
        <w:rPr>
          <w:color w:val="000000"/>
          <w:sz w:val="20"/>
          <w:szCs w:val="20"/>
        </w:rPr>
        <w:t xml:space="preserve">– </w:t>
      </w:r>
      <w:r w:rsidR="0089677C" w:rsidRPr="0089677C">
        <w:rPr>
          <w:i/>
          <w:iCs/>
          <w:color w:val="000000"/>
          <w:sz w:val="20"/>
          <w:szCs w:val="20"/>
        </w:rPr>
        <w:t>Po kilku latach ostrożniejszego podejścia inwestorów wyraźnie powróciło zainteresowanie najlepszymi centrami handlowymi, przy jednoczesnym utrzymaniu wysokiej aktywności w segmencie parków handlowych. Prognozujemy, że przy utrzymaniu obecnego tempa aktywności całoroczny wolumen inwestycyjny w sektorze handlowym może zbliżyć się do najlepszy</w:t>
      </w:r>
      <w:r w:rsidR="0089677C">
        <w:rPr>
          <w:i/>
          <w:iCs/>
          <w:color w:val="000000"/>
          <w:sz w:val="20"/>
          <w:szCs w:val="20"/>
        </w:rPr>
        <w:t>ch</w:t>
      </w:r>
      <w:r w:rsidR="0089677C" w:rsidRPr="0089677C">
        <w:rPr>
          <w:i/>
          <w:iCs/>
          <w:color w:val="000000"/>
          <w:sz w:val="20"/>
          <w:szCs w:val="20"/>
        </w:rPr>
        <w:t xml:space="preserve"> wyników z ostatnich 5-7 lat</w:t>
      </w:r>
      <w:r w:rsidR="0089677C">
        <w:rPr>
          <w:i/>
          <w:iCs/>
          <w:color w:val="000000"/>
          <w:sz w:val="20"/>
          <w:szCs w:val="20"/>
        </w:rPr>
        <w:t xml:space="preserve"> </w:t>
      </w:r>
      <w:r w:rsidRPr="001E600B">
        <w:rPr>
          <w:color w:val="000000"/>
          <w:sz w:val="20"/>
          <w:szCs w:val="20"/>
        </w:rPr>
        <w:t xml:space="preserve">– </w:t>
      </w:r>
      <w:r>
        <w:rPr>
          <w:color w:val="000000"/>
          <w:sz w:val="20"/>
          <w:szCs w:val="20"/>
        </w:rPr>
        <w:t>dodaje</w:t>
      </w:r>
      <w:r w:rsidRPr="001E600B">
        <w:rPr>
          <w:color w:val="000000"/>
          <w:sz w:val="20"/>
          <w:szCs w:val="20"/>
        </w:rPr>
        <w:t xml:space="preserve"> </w:t>
      </w:r>
      <w:r w:rsidRPr="001E600B">
        <w:rPr>
          <w:b/>
          <w:bCs/>
          <w:color w:val="000000"/>
          <w:sz w:val="20"/>
          <w:szCs w:val="20"/>
        </w:rPr>
        <w:t>Paweł Partyka</w:t>
      </w:r>
      <w:r>
        <w:rPr>
          <w:b/>
          <w:bCs/>
          <w:color w:val="000000"/>
          <w:sz w:val="20"/>
          <w:szCs w:val="20"/>
        </w:rPr>
        <w:t>.</w:t>
      </w:r>
    </w:p>
    <w:p w14:paraId="6C8B2334" w14:textId="77777777" w:rsidR="001E600B" w:rsidRDefault="001E600B" w:rsidP="001E600B">
      <w:pPr>
        <w:widowControl w:val="0"/>
        <w:pBdr>
          <w:top w:val="nil"/>
          <w:left w:val="nil"/>
          <w:bottom w:val="nil"/>
          <w:right w:val="nil"/>
          <w:between w:val="nil"/>
        </w:pBdr>
        <w:spacing w:line="240" w:lineRule="auto"/>
        <w:jc w:val="both"/>
        <w:rPr>
          <w:color w:val="000000"/>
          <w:sz w:val="20"/>
          <w:szCs w:val="20"/>
        </w:rPr>
      </w:pPr>
    </w:p>
    <w:p w14:paraId="1F4914B1" w14:textId="70970441" w:rsidR="001E600B" w:rsidRDefault="001E600B" w:rsidP="001E600B">
      <w:pPr>
        <w:widowControl w:val="0"/>
        <w:pBdr>
          <w:top w:val="nil"/>
          <w:left w:val="nil"/>
          <w:bottom w:val="nil"/>
          <w:right w:val="nil"/>
          <w:between w:val="nil"/>
        </w:pBdr>
        <w:spacing w:line="240" w:lineRule="auto"/>
        <w:jc w:val="both"/>
        <w:rPr>
          <w:color w:val="000000"/>
          <w:sz w:val="20"/>
          <w:szCs w:val="20"/>
        </w:rPr>
      </w:pPr>
      <w:r w:rsidRPr="001E600B">
        <w:rPr>
          <w:color w:val="000000"/>
          <w:sz w:val="20"/>
          <w:szCs w:val="20"/>
        </w:rPr>
        <w:t xml:space="preserve">Jednocześnie rynek retail parków wchodzi w bardziej dojrzałą fazę rozwoju, a inwestorzy instytucjonalni coraz chętniej realizują transakcje portfelowe. </w:t>
      </w:r>
    </w:p>
    <w:p w14:paraId="00F7E6C4" w14:textId="77777777" w:rsidR="001E600B" w:rsidRPr="001E600B" w:rsidRDefault="001E600B" w:rsidP="001E600B">
      <w:pPr>
        <w:widowControl w:val="0"/>
        <w:pBdr>
          <w:top w:val="nil"/>
          <w:left w:val="nil"/>
          <w:bottom w:val="nil"/>
          <w:right w:val="nil"/>
          <w:between w:val="nil"/>
        </w:pBdr>
        <w:spacing w:line="240" w:lineRule="auto"/>
        <w:jc w:val="both"/>
        <w:rPr>
          <w:color w:val="000000"/>
          <w:sz w:val="20"/>
          <w:szCs w:val="20"/>
        </w:rPr>
      </w:pPr>
    </w:p>
    <w:p w14:paraId="51AB9A19" w14:textId="77777777" w:rsidR="001E600B" w:rsidRPr="001E600B" w:rsidRDefault="001E600B" w:rsidP="001E600B">
      <w:pPr>
        <w:widowControl w:val="0"/>
        <w:pBdr>
          <w:top w:val="nil"/>
          <w:left w:val="nil"/>
          <w:bottom w:val="nil"/>
          <w:right w:val="nil"/>
          <w:between w:val="nil"/>
        </w:pBdr>
        <w:spacing w:line="240" w:lineRule="auto"/>
        <w:jc w:val="both"/>
        <w:rPr>
          <w:b/>
          <w:bCs/>
          <w:color w:val="000000"/>
          <w:sz w:val="20"/>
          <w:szCs w:val="20"/>
        </w:rPr>
      </w:pPr>
      <w:r w:rsidRPr="001E600B">
        <w:rPr>
          <w:b/>
          <w:bCs/>
          <w:color w:val="000000"/>
          <w:sz w:val="20"/>
          <w:szCs w:val="20"/>
        </w:rPr>
        <w:t>Magazyny utrzymują wysoką aktywność</w:t>
      </w:r>
    </w:p>
    <w:p w14:paraId="5A8F1CDD" w14:textId="77777777" w:rsidR="001E600B" w:rsidRPr="001E600B" w:rsidRDefault="001E600B" w:rsidP="001E600B">
      <w:pPr>
        <w:widowControl w:val="0"/>
        <w:pBdr>
          <w:top w:val="nil"/>
          <w:left w:val="nil"/>
          <w:bottom w:val="nil"/>
          <w:right w:val="nil"/>
          <w:between w:val="nil"/>
        </w:pBdr>
        <w:spacing w:line="240" w:lineRule="auto"/>
        <w:jc w:val="both"/>
        <w:rPr>
          <w:color w:val="000000"/>
          <w:sz w:val="20"/>
          <w:szCs w:val="20"/>
        </w:rPr>
      </w:pPr>
    </w:p>
    <w:p w14:paraId="3F439C14" w14:textId="77777777" w:rsidR="001E600B" w:rsidRDefault="001E600B" w:rsidP="001E600B">
      <w:pPr>
        <w:widowControl w:val="0"/>
        <w:pBdr>
          <w:top w:val="nil"/>
          <w:left w:val="nil"/>
          <w:bottom w:val="nil"/>
          <w:right w:val="nil"/>
          <w:between w:val="nil"/>
        </w:pBdr>
        <w:spacing w:line="240" w:lineRule="auto"/>
        <w:jc w:val="both"/>
        <w:rPr>
          <w:color w:val="000000"/>
          <w:sz w:val="20"/>
          <w:szCs w:val="20"/>
        </w:rPr>
      </w:pPr>
      <w:r w:rsidRPr="001E600B">
        <w:rPr>
          <w:color w:val="000000"/>
          <w:sz w:val="20"/>
          <w:szCs w:val="20"/>
        </w:rPr>
        <w:t>Sektor logistyczny zakończył pierwsze półrocze z wolumenem inwestycyjnym na poziomie 782 mln EUR, co oznacza wzrost o 13% rok do roku. Na rynku ponownie pojawiły się duże transakcje – zarówno pojedynczych aktywów, jak i portfeli logistycznych, w tym dwie o wartości przekraczającej 150 mln EUR.</w:t>
      </w:r>
    </w:p>
    <w:p w14:paraId="1995A480" w14:textId="77777777" w:rsidR="001E600B" w:rsidRPr="001E600B" w:rsidRDefault="001E600B" w:rsidP="001E600B">
      <w:pPr>
        <w:widowControl w:val="0"/>
        <w:pBdr>
          <w:top w:val="nil"/>
          <w:left w:val="nil"/>
          <w:bottom w:val="nil"/>
          <w:right w:val="nil"/>
          <w:between w:val="nil"/>
        </w:pBdr>
        <w:spacing w:line="240" w:lineRule="auto"/>
        <w:jc w:val="both"/>
        <w:rPr>
          <w:color w:val="000000"/>
          <w:sz w:val="20"/>
          <w:szCs w:val="20"/>
        </w:rPr>
      </w:pPr>
    </w:p>
    <w:p w14:paraId="1FC793CB" w14:textId="03CF4D31" w:rsidR="001E600B" w:rsidRDefault="001E600B" w:rsidP="001E600B">
      <w:pPr>
        <w:widowControl w:val="0"/>
        <w:pBdr>
          <w:top w:val="nil"/>
          <w:left w:val="nil"/>
          <w:bottom w:val="nil"/>
          <w:right w:val="nil"/>
          <w:between w:val="nil"/>
        </w:pBdr>
        <w:spacing w:line="240" w:lineRule="auto"/>
        <w:jc w:val="both"/>
        <w:rPr>
          <w:color w:val="000000"/>
          <w:sz w:val="20"/>
          <w:szCs w:val="20"/>
        </w:rPr>
      </w:pPr>
      <w:r w:rsidRPr="001E600B">
        <w:rPr>
          <w:color w:val="000000"/>
          <w:sz w:val="20"/>
          <w:szCs w:val="20"/>
        </w:rPr>
        <w:t xml:space="preserve">Największym zainteresowaniem inwestorów cieszą się projekty BTS oraz transakcje sale &amp; leaseback z długoterminowymi umowami najmu, które odpowiadały za ponad połowę </w:t>
      </w:r>
      <w:r w:rsidR="001043F9">
        <w:rPr>
          <w:color w:val="000000"/>
          <w:sz w:val="20"/>
          <w:szCs w:val="20"/>
        </w:rPr>
        <w:t>wartości</w:t>
      </w:r>
      <w:r w:rsidR="001043F9" w:rsidRPr="001E600B">
        <w:rPr>
          <w:color w:val="000000"/>
          <w:sz w:val="20"/>
          <w:szCs w:val="20"/>
        </w:rPr>
        <w:t xml:space="preserve"> </w:t>
      </w:r>
      <w:r w:rsidR="00861677" w:rsidRPr="001E600B">
        <w:rPr>
          <w:color w:val="000000"/>
          <w:sz w:val="20"/>
          <w:szCs w:val="20"/>
        </w:rPr>
        <w:t>inwestycji</w:t>
      </w:r>
      <w:r w:rsidRPr="001E600B">
        <w:rPr>
          <w:color w:val="000000"/>
          <w:sz w:val="20"/>
          <w:szCs w:val="20"/>
        </w:rPr>
        <w:t xml:space="preserve">. Jednocześnie utrzymuje się silna aktywność w strategiach value-add, choć na rynku widoczne są już pierwsze oznaki kompresji stóp kapitalizacji dla najlepszych aktywów logistycznych. </w:t>
      </w:r>
    </w:p>
    <w:p w14:paraId="1D8B0BD3" w14:textId="77777777" w:rsidR="001E600B" w:rsidRPr="001E600B" w:rsidRDefault="001E600B" w:rsidP="001E600B">
      <w:pPr>
        <w:widowControl w:val="0"/>
        <w:pBdr>
          <w:top w:val="nil"/>
          <w:left w:val="nil"/>
          <w:bottom w:val="nil"/>
          <w:right w:val="nil"/>
          <w:between w:val="nil"/>
        </w:pBdr>
        <w:spacing w:line="240" w:lineRule="auto"/>
        <w:jc w:val="both"/>
        <w:rPr>
          <w:color w:val="000000"/>
          <w:sz w:val="20"/>
          <w:szCs w:val="20"/>
        </w:rPr>
      </w:pPr>
    </w:p>
    <w:p w14:paraId="467D9522" w14:textId="77777777" w:rsidR="001E600B" w:rsidRDefault="001E600B" w:rsidP="001E600B">
      <w:pPr>
        <w:widowControl w:val="0"/>
        <w:pBdr>
          <w:top w:val="nil"/>
          <w:left w:val="nil"/>
          <w:bottom w:val="nil"/>
          <w:right w:val="nil"/>
          <w:between w:val="nil"/>
        </w:pBdr>
        <w:spacing w:line="240" w:lineRule="auto"/>
        <w:jc w:val="both"/>
        <w:rPr>
          <w:b/>
          <w:bCs/>
          <w:color w:val="000000"/>
          <w:sz w:val="20"/>
          <w:szCs w:val="20"/>
        </w:rPr>
      </w:pPr>
      <w:r w:rsidRPr="001E600B">
        <w:rPr>
          <w:b/>
          <w:bCs/>
          <w:color w:val="000000"/>
          <w:sz w:val="20"/>
          <w:szCs w:val="20"/>
        </w:rPr>
        <w:t>Polski kapitał dojrzewa na rynku biurowym</w:t>
      </w:r>
    </w:p>
    <w:p w14:paraId="77359EEA" w14:textId="77777777" w:rsidR="001E600B" w:rsidRPr="001E600B" w:rsidRDefault="001E600B" w:rsidP="001E600B">
      <w:pPr>
        <w:widowControl w:val="0"/>
        <w:pBdr>
          <w:top w:val="nil"/>
          <w:left w:val="nil"/>
          <w:bottom w:val="nil"/>
          <w:right w:val="nil"/>
          <w:between w:val="nil"/>
        </w:pBdr>
        <w:spacing w:line="240" w:lineRule="auto"/>
        <w:jc w:val="both"/>
        <w:rPr>
          <w:b/>
          <w:bCs/>
          <w:color w:val="000000"/>
          <w:sz w:val="20"/>
          <w:szCs w:val="20"/>
        </w:rPr>
      </w:pPr>
    </w:p>
    <w:p w14:paraId="5ACF10A4" w14:textId="77777777" w:rsidR="001E600B" w:rsidRDefault="001E600B" w:rsidP="001E600B">
      <w:pPr>
        <w:widowControl w:val="0"/>
        <w:pBdr>
          <w:top w:val="nil"/>
          <w:left w:val="nil"/>
          <w:bottom w:val="nil"/>
          <w:right w:val="nil"/>
          <w:between w:val="nil"/>
        </w:pBdr>
        <w:spacing w:line="240" w:lineRule="auto"/>
        <w:jc w:val="both"/>
        <w:rPr>
          <w:color w:val="000000"/>
          <w:sz w:val="20"/>
          <w:szCs w:val="20"/>
        </w:rPr>
      </w:pPr>
      <w:r w:rsidRPr="001E600B">
        <w:rPr>
          <w:color w:val="000000"/>
          <w:sz w:val="20"/>
          <w:szCs w:val="20"/>
        </w:rPr>
        <w:t>W pierwszej połowie roku wartość transakcji w sektorze biurowym wyniosła 594 mln EUR, a rynek wszedł w kolejną fazę ożywienia. Po raz pierwszy od końca 2024 roku finalizowane są duże transakcje typu Core obejmujące prestiżowe warszawskie wieżowce, co przekłada się na dalszą kompresję stóp kapitalizacji dla najlepszych aktywów.</w:t>
      </w:r>
    </w:p>
    <w:p w14:paraId="1C2F35D6" w14:textId="77777777" w:rsidR="001E600B" w:rsidRPr="001E600B" w:rsidRDefault="001E600B" w:rsidP="001E600B">
      <w:pPr>
        <w:widowControl w:val="0"/>
        <w:pBdr>
          <w:top w:val="nil"/>
          <w:left w:val="nil"/>
          <w:bottom w:val="nil"/>
          <w:right w:val="nil"/>
          <w:between w:val="nil"/>
        </w:pBdr>
        <w:spacing w:line="240" w:lineRule="auto"/>
        <w:jc w:val="both"/>
        <w:rPr>
          <w:color w:val="000000"/>
          <w:sz w:val="20"/>
          <w:szCs w:val="20"/>
        </w:rPr>
      </w:pPr>
    </w:p>
    <w:p w14:paraId="54BE54DE" w14:textId="4C358A20" w:rsidR="001E600B" w:rsidRPr="00A36D5B" w:rsidRDefault="001E600B" w:rsidP="001E600B">
      <w:pPr>
        <w:widowControl w:val="0"/>
        <w:pBdr>
          <w:top w:val="nil"/>
          <w:left w:val="nil"/>
          <w:bottom w:val="nil"/>
          <w:right w:val="nil"/>
          <w:between w:val="nil"/>
        </w:pBdr>
        <w:spacing w:line="240" w:lineRule="auto"/>
        <w:jc w:val="both"/>
        <w:rPr>
          <w:b/>
          <w:bCs/>
          <w:color w:val="000000"/>
          <w:sz w:val="20"/>
          <w:szCs w:val="20"/>
        </w:rPr>
      </w:pPr>
      <w:r w:rsidRPr="001E600B">
        <w:rPr>
          <w:color w:val="000000"/>
          <w:sz w:val="20"/>
          <w:szCs w:val="20"/>
        </w:rPr>
        <w:t>–</w:t>
      </w:r>
      <w:r>
        <w:rPr>
          <w:color w:val="000000"/>
          <w:sz w:val="20"/>
          <w:szCs w:val="20"/>
        </w:rPr>
        <w:t xml:space="preserve"> </w:t>
      </w:r>
      <w:r w:rsidRPr="00A36D5B">
        <w:rPr>
          <w:i/>
          <w:iCs/>
          <w:color w:val="000000"/>
          <w:sz w:val="20"/>
          <w:szCs w:val="20"/>
        </w:rPr>
        <w:t xml:space="preserve">Jednym z najciekawszych trendów jest rosnąca aktywność polskiego kapitału. Choć największe </w:t>
      </w:r>
      <w:r w:rsidR="001043F9">
        <w:rPr>
          <w:i/>
          <w:iCs/>
          <w:color w:val="000000"/>
          <w:sz w:val="20"/>
          <w:szCs w:val="20"/>
        </w:rPr>
        <w:t>wartości</w:t>
      </w:r>
      <w:r w:rsidR="001043F9" w:rsidRPr="00A36D5B">
        <w:rPr>
          <w:i/>
          <w:iCs/>
          <w:color w:val="000000"/>
          <w:sz w:val="20"/>
          <w:szCs w:val="20"/>
        </w:rPr>
        <w:t xml:space="preserve"> </w:t>
      </w:r>
      <w:r w:rsidRPr="00A36D5B">
        <w:rPr>
          <w:i/>
          <w:iCs/>
          <w:color w:val="000000"/>
          <w:sz w:val="20"/>
          <w:szCs w:val="20"/>
        </w:rPr>
        <w:t>transakcji nadal generują przede wszystkim inwestorzy zagraniczni, to właśnie krajowy kapitał dominuje pod względem liczby zawieranych transakcji. Jednocześnie zmienia się strategia inwestycyjna polskich nabywców – obok projektów oferujących potencjał wzrostu wartości coraz częściej przedmiotem zainteresowania stają się aktywa klasy Core+, zapewniające stabilne dochody i długoterminowy potencjał wzrostu wartości</w:t>
      </w:r>
      <w:r>
        <w:rPr>
          <w:color w:val="000000"/>
          <w:sz w:val="20"/>
          <w:szCs w:val="20"/>
        </w:rPr>
        <w:t xml:space="preserve"> </w:t>
      </w:r>
      <w:r w:rsidRPr="001E600B">
        <w:rPr>
          <w:color w:val="000000"/>
          <w:sz w:val="20"/>
          <w:szCs w:val="20"/>
        </w:rPr>
        <w:t>–</w:t>
      </w:r>
      <w:r>
        <w:rPr>
          <w:color w:val="000000"/>
          <w:sz w:val="20"/>
          <w:szCs w:val="20"/>
        </w:rPr>
        <w:t xml:space="preserve"> mówi </w:t>
      </w:r>
      <w:r w:rsidRPr="00A36D5B">
        <w:rPr>
          <w:b/>
          <w:bCs/>
          <w:color w:val="000000"/>
          <w:sz w:val="20"/>
          <w:szCs w:val="20"/>
        </w:rPr>
        <w:t xml:space="preserve">Marcin Kocerba, </w:t>
      </w:r>
      <w:r w:rsidR="00A36D5B" w:rsidRPr="00A36D5B">
        <w:rPr>
          <w:b/>
          <w:bCs/>
          <w:color w:val="000000"/>
          <w:sz w:val="20"/>
          <w:szCs w:val="20"/>
        </w:rPr>
        <w:t>Partner, Capital Markets, Cushman &amp; Wakefield.</w:t>
      </w:r>
    </w:p>
    <w:p w14:paraId="2771D0E1" w14:textId="77777777" w:rsidR="001E600B" w:rsidRPr="001E600B" w:rsidRDefault="001E600B" w:rsidP="001E600B">
      <w:pPr>
        <w:widowControl w:val="0"/>
        <w:pBdr>
          <w:top w:val="nil"/>
          <w:left w:val="nil"/>
          <w:bottom w:val="nil"/>
          <w:right w:val="nil"/>
          <w:between w:val="nil"/>
        </w:pBdr>
        <w:spacing w:line="240" w:lineRule="auto"/>
        <w:jc w:val="both"/>
        <w:rPr>
          <w:color w:val="000000"/>
          <w:sz w:val="20"/>
          <w:szCs w:val="20"/>
        </w:rPr>
      </w:pPr>
    </w:p>
    <w:p w14:paraId="24CABB11" w14:textId="77777777" w:rsidR="001E600B" w:rsidRDefault="001E600B" w:rsidP="001E600B">
      <w:pPr>
        <w:widowControl w:val="0"/>
        <w:pBdr>
          <w:top w:val="nil"/>
          <w:left w:val="nil"/>
          <w:bottom w:val="nil"/>
          <w:right w:val="nil"/>
          <w:between w:val="nil"/>
        </w:pBdr>
        <w:spacing w:line="240" w:lineRule="auto"/>
        <w:jc w:val="both"/>
        <w:rPr>
          <w:color w:val="000000"/>
          <w:sz w:val="20"/>
          <w:szCs w:val="20"/>
        </w:rPr>
      </w:pPr>
      <w:r w:rsidRPr="001E600B">
        <w:rPr>
          <w:color w:val="000000"/>
          <w:sz w:val="20"/>
          <w:szCs w:val="20"/>
        </w:rPr>
        <w:t xml:space="preserve">Rynek biurowy wspierają także ograniczona podaż nowych projektów oraz rosnące czynsze – zarówno w Warszawie, jak i coraz wyraźniej na głównych rynkach regionalnych. W efekcie stopy kapitalizacji dla </w:t>
      </w:r>
      <w:r w:rsidRPr="001E600B">
        <w:rPr>
          <w:color w:val="000000"/>
          <w:sz w:val="20"/>
          <w:szCs w:val="20"/>
        </w:rPr>
        <w:lastRenderedPageBreak/>
        <w:t xml:space="preserve">najlepszych warszawskich biurowców spadły już poniżej 6%, natomiast w miastach regionalnych zbliżają się do poziomu 7%. </w:t>
      </w:r>
    </w:p>
    <w:p w14:paraId="52C13AB9" w14:textId="77777777" w:rsidR="001E600B" w:rsidRPr="001E600B" w:rsidRDefault="001E600B" w:rsidP="001E600B">
      <w:pPr>
        <w:widowControl w:val="0"/>
        <w:pBdr>
          <w:top w:val="nil"/>
          <w:left w:val="nil"/>
          <w:bottom w:val="nil"/>
          <w:right w:val="nil"/>
          <w:between w:val="nil"/>
        </w:pBdr>
        <w:spacing w:line="240" w:lineRule="auto"/>
        <w:jc w:val="both"/>
        <w:rPr>
          <w:color w:val="000000"/>
          <w:sz w:val="20"/>
          <w:szCs w:val="20"/>
        </w:rPr>
      </w:pPr>
    </w:p>
    <w:p w14:paraId="10773CAB" w14:textId="73D76D06" w:rsidR="001E600B" w:rsidRPr="00A36D5B" w:rsidRDefault="001E600B" w:rsidP="001E600B">
      <w:pPr>
        <w:widowControl w:val="0"/>
        <w:pBdr>
          <w:top w:val="nil"/>
          <w:left w:val="nil"/>
          <w:bottom w:val="nil"/>
          <w:right w:val="nil"/>
          <w:between w:val="nil"/>
        </w:pBdr>
        <w:spacing w:line="240" w:lineRule="auto"/>
        <w:jc w:val="both"/>
        <w:rPr>
          <w:b/>
          <w:bCs/>
          <w:color w:val="000000"/>
          <w:sz w:val="20"/>
          <w:szCs w:val="20"/>
        </w:rPr>
      </w:pPr>
      <w:r w:rsidRPr="00A36D5B">
        <w:rPr>
          <w:b/>
          <w:bCs/>
          <w:color w:val="000000"/>
          <w:sz w:val="20"/>
          <w:szCs w:val="20"/>
        </w:rPr>
        <w:t>Mocne fundamenty na drugą połowę roku</w:t>
      </w:r>
    </w:p>
    <w:p w14:paraId="7C97C611" w14:textId="77777777" w:rsidR="00A36D5B" w:rsidRPr="001E600B" w:rsidRDefault="00A36D5B" w:rsidP="001E600B">
      <w:pPr>
        <w:widowControl w:val="0"/>
        <w:pBdr>
          <w:top w:val="nil"/>
          <w:left w:val="nil"/>
          <w:bottom w:val="nil"/>
          <w:right w:val="nil"/>
          <w:between w:val="nil"/>
        </w:pBdr>
        <w:spacing w:line="240" w:lineRule="auto"/>
        <w:jc w:val="both"/>
        <w:rPr>
          <w:color w:val="000000"/>
          <w:sz w:val="20"/>
          <w:szCs w:val="20"/>
        </w:rPr>
      </w:pPr>
    </w:p>
    <w:p w14:paraId="7FC35277" w14:textId="3C11390A" w:rsidR="00A36D5B" w:rsidRDefault="00A93C87" w:rsidP="001E600B">
      <w:pPr>
        <w:widowControl w:val="0"/>
        <w:pBdr>
          <w:top w:val="nil"/>
          <w:left w:val="nil"/>
          <w:bottom w:val="nil"/>
          <w:right w:val="nil"/>
          <w:between w:val="nil"/>
        </w:pBdr>
        <w:spacing w:line="240" w:lineRule="auto"/>
        <w:jc w:val="both"/>
        <w:rPr>
          <w:color w:val="000000"/>
          <w:sz w:val="20"/>
          <w:szCs w:val="20"/>
        </w:rPr>
      </w:pPr>
      <w:r w:rsidRPr="00A93C87">
        <w:rPr>
          <w:color w:val="000000"/>
          <w:sz w:val="20"/>
          <w:szCs w:val="20"/>
        </w:rPr>
        <w:t>Na rynku mieszkaniowym wartość transakcji osiągnęła 575 mln EUR, co potwierdza utrzymujące się zainteresowanie inwestorów sektorem living. Łącznie wszystkie główne klasy aktywów, wspierane dodatkowo przez transakcje w segmencie hotelowym (blisko 50 mln EUR) oraz planowane projekty mieszkaniowe (ponad 30 mln EUR), zanotowały wysoką aktywność, dzięki czemu całkowity wolumen inwestycyjny przekroczył 3 mld EUR już po sześciu miesiącach roku</w:t>
      </w:r>
    </w:p>
    <w:p w14:paraId="471781A5" w14:textId="77777777" w:rsidR="00A93C87" w:rsidRPr="001E600B" w:rsidRDefault="00A93C87" w:rsidP="001E600B">
      <w:pPr>
        <w:widowControl w:val="0"/>
        <w:pBdr>
          <w:top w:val="nil"/>
          <w:left w:val="nil"/>
          <w:bottom w:val="nil"/>
          <w:right w:val="nil"/>
          <w:between w:val="nil"/>
        </w:pBdr>
        <w:spacing w:line="240" w:lineRule="auto"/>
        <w:jc w:val="both"/>
        <w:rPr>
          <w:color w:val="000000"/>
          <w:sz w:val="20"/>
          <w:szCs w:val="20"/>
        </w:rPr>
      </w:pPr>
    </w:p>
    <w:p w14:paraId="5FE1D28C" w14:textId="0AB90F9D" w:rsidR="001E600B" w:rsidRPr="001E600B" w:rsidRDefault="001E600B" w:rsidP="001E600B">
      <w:pPr>
        <w:widowControl w:val="0"/>
        <w:pBdr>
          <w:top w:val="nil"/>
          <w:left w:val="nil"/>
          <w:bottom w:val="nil"/>
          <w:right w:val="nil"/>
          <w:between w:val="nil"/>
        </w:pBdr>
        <w:spacing w:line="240" w:lineRule="auto"/>
        <w:jc w:val="both"/>
        <w:rPr>
          <w:color w:val="000000"/>
          <w:sz w:val="20"/>
          <w:szCs w:val="20"/>
        </w:rPr>
      </w:pPr>
      <w:r w:rsidRPr="001E600B">
        <w:rPr>
          <w:color w:val="000000"/>
          <w:sz w:val="20"/>
          <w:szCs w:val="20"/>
        </w:rPr>
        <w:t xml:space="preserve">Eksperci Cushman &amp; Wakefield spodziewają się utrzymania wysokiej aktywności inwestorów również w drugiej połowie roku. </w:t>
      </w:r>
      <w:r w:rsidR="00A36D5B">
        <w:rPr>
          <w:color w:val="000000"/>
          <w:sz w:val="20"/>
          <w:szCs w:val="20"/>
        </w:rPr>
        <w:t>W procesie jest szereg</w:t>
      </w:r>
      <w:r w:rsidRPr="001E600B">
        <w:rPr>
          <w:color w:val="000000"/>
          <w:sz w:val="20"/>
          <w:szCs w:val="20"/>
        </w:rPr>
        <w:t xml:space="preserve"> </w:t>
      </w:r>
      <w:r w:rsidR="00A36D5B">
        <w:rPr>
          <w:color w:val="000000"/>
          <w:sz w:val="20"/>
          <w:szCs w:val="20"/>
        </w:rPr>
        <w:t>transakcji</w:t>
      </w:r>
      <w:r w:rsidRPr="001E600B">
        <w:rPr>
          <w:color w:val="000000"/>
          <w:sz w:val="20"/>
          <w:szCs w:val="20"/>
        </w:rPr>
        <w:t xml:space="preserve"> obejmujących wszystkie główne klasy aktywów, a poprawiające się warunki finansowania oraz stopniowa stabilizacja kosztu kapitału powinny sprzyjać finalizacji kolejnych dużych </w:t>
      </w:r>
      <w:r w:rsidR="00A36D5B">
        <w:rPr>
          <w:color w:val="000000"/>
          <w:sz w:val="20"/>
          <w:szCs w:val="20"/>
        </w:rPr>
        <w:t>umów.</w:t>
      </w:r>
    </w:p>
    <w:p w14:paraId="5753C8F0" w14:textId="502ADC11" w:rsidR="009B4210" w:rsidRPr="001E600B" w:rsidRDefault="009B4210" w:rsidP="009B4210">
      <w:pPr>
        <w:widowControl w:val="0"/>
        <w:pBdr>
          <w:top w:val="nil"/>
          <w:left w:val="nil"/>
          <w:bottom w:val="nil"/>
          <w:right w:val="nil"/>
          <w:between w:val="nil"/>
        </w:pBdr>
        <w:spacing w:line="240" w:lineRule="auto"/>
        <w:rPr>
          <w:b/>
          <w:bCs/>
          <w:color w:val="000000"/>
          <w:sz w:val="16"/>
          <w:szCs w:val="16"/>
        </w:rPr>
      </w:pPr>
    </w:p>
    <w:p w14:paraId="0A5A1FB4" w14:textId="6420BF32" w:rsidR="0001791C" w:rsidRDefault="00000000" w:rsidP="009B4210">
      <w:pPr>
        <w:widowControl w:val="0"/>
        <w:pBdr>
          <w:top w:val="nil"/>
          <w:left w:val="nil"/>
          <w:bottom w:val="nil"/>
          <w:right w:val="nil"/>
          <w:between w:val="nil"/>
        </w:pBdr>
        <w:spacing w:line="240" w:lineRule="auto"/>
        <w:rPr>
          <w:b/>
          <w:bCs/>
          <w:color w:val="000000"/>
          <w:sz w:val="16"/>
          <w:szCs w:val="16"/>
        </w:rPr>
      </w:pPr>
      <w:r>
        <w:rPr>
          <w:b/>
          <w:bCs/>
          <w:color w:val="000000"/>
          <w:sz w:val="16"/>
          <w:szCs w:val="16"/>
        </w:rPr>
        <w:t xml:space="preserve">O Cushman &amp; Wakefield </w:t>
      </w:r>
    </w:p>
    <w:p w14:paraId="3E7EF70F" w14:textId="77777777" w:rsidR="0001791C" w:rsidRDefault="00000000">
      <w:pPr>
        <w:widowControl w:val="0"/>
        <w:pBdr>
          <w:top w:val="nil"/>
          <w:left w:val="nil"/>
          <w:bottom w:val="nil"/>
          <w:right w:val="nil"/>
          <w:between w:val="nil"/>
        </w:pBdr>
        <w:spacing w:before="159" w:line="234" w:lineRule="auto"/>
        <w:ind w:left="12" w:right="4" w:firstLine="4"/>
        <w:rPr>
          <w:color w:val="000000"/>
          <w:sz w:val="16"/>
          <w:szCs w:val="16"/>
        </w:rPr>
      </w:pPr>
      <w:r>
        <w:rPr>
          <w:color w:val="000000"/>
          <w:sz w:val="16"/>
          <w:szCs w:val="16"/>
        </w:rPr>
        <w:t xml:space="preserve">Cushman &amp; Wakefield (NYSE: CWK) jest wiodącą na świecie firmą świadczącą usługi na rzecz właścicieli i najemców nieruchomości komercyjnych. Zatrudnia ok. 52 tys. pracowników w niemal 400 biurach i 60 krajach na całym świecie. W 2024 roku jej przychody wyniosły 9,4 mld USD. Do najważniejszych usług świadczonych przez firmę należą m.in. zarządzanie nieruchomościami, obiektami i projektami, pośrednictwo w wynajmie powierzchni, obsługa transakcji na rynkach kapitałowych oraz wyceny. Za nieustanne dążenie do doskonałości zgodnie z zasadą Better never settles Cushman &amp; Wakefield otrzymuje wiele wyróżnień oraz nagród w konkursach branżowych i biznesowych. Dodatkowe informacje na stronie www.cushmanwakefield.com. </w:t>
      </w:r>
    </w:p>
    <w:p w14:paraId="27D8DCE8" w14:textId="77777777" w:rsidR="0001791C" w:rsidRDefault="00000000">
      <w:pPr>
        <w:widowControl w:val="0"/>
        <w:pBdr>
          <w:top w:val="nil"/>
          <w:left w:val="nil"/>
          <w:bottom w:val="nil"/>
          <w:right w:val="nil"/>
          <w:between w:val="nil"/>
        </w:pBdr>
        <w:spacing w:before="206" w:line="240" w:lineRule="auto"/>
        <w:jc w:val="center"/>
        <w:rPr>
          <w:b/>
          <w:bCs/>
          <w:color w:val="000000"/>
          <w:sz w:val="16"/>
          <w:szCs w:val="16"/>
        </w:rPr>
      </w:pPr>
      <w:r>
        <w:rPr>
          <w:color w:val="000000"/>
          <w:sz w:val="16"/>
          <w:szCs w:val="16"/>
        </w:rPr>
        <w:t xml:space="preserve">- </w:t>
      </w:r>
      <w:r>
        <w:rPr>
          <w:b/>
          <w:bCs/>
          <w:color w:val="000000"/>
          <w:sz w:val="16"/>
          <w:szCs w:val="16"/>
        </w:rPr>
        <w:t>KONIEC -</w:t>
      </w:r>
    </w:p>
    <w:sectPr w:rsidR="0001791C" w:rsidSect="009B4210">
      <w:headerReference w:type="default" r:id="rId6"/>
      <w:footerReference w:type="default" r:id="rId7"/>
      <w:pgSz w:w="11900" w:h="16820"/>
      <w:pgMar w:top="1555" w:right="950" w:bottom="763" w:left="1215" w:header="0" w:footer="19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D6447" w14:textId="77777777" w:rsidR="00B6089F" w:rsidRDefault="00B6089F" w:rsidP="009B4210">
      <w:pPr>
        <w:spacing w:line="240" w:lineRule="auto"/>
      </w:pPr>
      <w:r>
        <w:separator/>
      </w:r>
    </w:p>
  </w:endnote>
  <w:endnote w:type="continuationSeparator" w:id="0">
    <w:p w14:paraId="2228C544" w14:textId="77777777" w:rsidR="00B6089F" w:rsidRDefault="00B6089F" w:rsidP="009B42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79C821AC-43B2-40C0-8C93-40EB7381F849}"/>
  </w:font>
  <w:font w:name="Calibri">
    <w:panose1 w:val="020F0502020204030204"/>
    <w:charset w:val="EE"/>
    <w:family w:val="swiss"/>
    <w:pitch w:val="variable"/>
    <w:sig w:usb0="E4002EFF" w:usb1="C200247B" w:usb2="00000009" w:usb3="00000000" w:csb0="000001FF" w:csb1="00000000"/>
    <w:embedRegular r:id="rId2" w:fontKey="{544018AF-3E02-4FA5-8312-0E75352FDDD8}"/>
    <w:embedBold r:id="rId3" w:fontKey="{82D82155-773B-4315-9568-C1C83DA31293}"/>
  </w:font>
  <w:font w:name="Cambria">
    <w:panose1 w:val="02040503050406030204"/>
    <w:charset w:val="EE"/>
    <w:family w:val="roman"/>
    <w:pitch w:val="variable"/>
    <w:sig w:usb0="E00006FF" w:usb1="420024FF" w:usb2="02000000" w:usb3="00000000" w:csb0="0000019F" w:csb1="00000000"/>
    <w:embedRegular r:id="rId4" w:fontKey="{290B19BB-9C39-455D-9A58-81C36A6CBC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69BF4" w14:textId="77777777" w:rsidR="009B4210" w:rsidRPr="00A93C87" w:rsidRDefault="009B4210" w:rsidP="009B4210">
    <w:pPr>
      <w:widowControl w:val="0"/>
      <w:pBdr>
        <w:top w:val="nil"/>
        <w:left w:val="nil"/>
        <w:bottom w:val="nil"/>
        <w:right w:val="nil"/>
        <w:between w:val="nil"/>
      </w:pBdr>
      <w:spacing w:before="675" w:line="240" w:lineRule="auto"/>
      <w:ind w:left="263"/>
      <w:rPr>
        <w:rFonts w:ascii="Calibri" w:eastAsia="Calibri" w:hAnsi="Calibri" w:cs="Calibri"/>
        <w:b/>
        <w:bCs/>
        <w:color w:val="696B6B"/>
        <w:sz w:val="18"/>
        <w:szCs w:val="18"/>
        <w:lang w:val="en-US"/>
      </w:rPr>
    </w:pPr>
    <w:r w:rsidRPr="00A93C87">
      <w:rPr>
        <w:rFonts w:ascii="Calibri" w:eastAsia="Calibri" w:hAnsi="Calibri" w:cs="Calibri"/>
        <w:b/>
        <w:bCs/>
        <w:color w:val="696B6B"/>
        <w:sz w:val="18"/>
        <w:szCs w:val="18"/>
        <w:lang w:val="en-US"/>
      </w:rPr>
      <w:t xml:space="preserve">Karolina Samczyńska-Fiślak </w:t>
    </w:r>
  </w:p>
  <w:p w14:paraId="0269C52C" w14:textId="77777777" w:rsidR="009B4210" w:rsidRPr="00A93C87" w:rsidRDefault="009B4210" w:rsidP="009B4210">
    <w:pPr>
      <w:widowControl w:val="0"/>
      <w:pBdr>
        <w:top w:val="nil"/>
        <w:left w:val="nil"/>
        <w:bottom w:val="nil"/>
        <w:right w:val="nil"/>
        <w:between w:val="nil"/>
      </w:pBdr>
      <w:spacing w:before="8" w:line="240" w:lineRule="auto"/>
      <w:ind w:left="259"/>
      <w:rPr>
        <w:rFonts w:ascii="Calibri" w:eastAsia="Calibri" w:hAnsi="Calibri" w:cs="Calibri"/>
        <w:color w:val="696B6B"/>
        <w:sz w:val="18"/>
        <w:szCs w:val="18"/>
        <w:lang w:val="en-US"/>
      </w:rPr>
    </w:pPr>
    <w:r w:rsidRPr="00A93C87">
      <w:rPr>
        <w:rFonts w:ascii="Calibri" w:eastAsia="Calibri" w:hAnsi="Calibri" w:cs="Calibri"/>
        <w:color w:val="696B6B"/>
        <w:sz w:val="18"/>
        <w:szCs w:val="18"/>
        <w:lang w:val="en-US"/>
      </w:rPr>
      <w:t>Cushman &amp; Wakefield</w:t>
    </w:r>
  </w:p>
  <w:p w14:paraId="2EBDE12F" w14:textId="77777777" w:rsidR="009B4210" w:rsidRPr="00A93C87" w:rsidRDefault="009B4210" w:rsidP="009B4210">
    <w:pPr>
      <w:widowControl w:val="0"/>
      <w:pBdr>
        <w:top w:val="nil"/>
        <w:left w:val="nil"/>
        <w:bottom w:val="nil"/>
        <w:right w:val="nil"/>
        <w:between w:val="nil"/>
      </w:pBdr>
      <w:spacing w:before="10" w:line="240" w:lineRule="auto"/>
      <w:ind w:left="252"/>
      <w:rPr>
        <w:rFonts w:ascii="Calibri" w:eastAsia="Calibri" w:hAnsi="Calibri" w:cs="Calibri"/>
        <w:color w:val="696B6B"/>
        <w:sz w:val="18"/>
        <w:szCs w:val="18"/>
        <w:lang w:val="en-US"/>
      </w:rPr>
    </w:pPr>
    <w:r w:rsidRPr="00A93C87">
      <w:rPr>
        <w:rFonts w:ascii="Calibri" w:eastAsia="Calibri" w:hAnsi="Calibri" w:cs="Calibri"/>
        <w:color w:val="696B6B"/>
        <w:sz w:val="18"/>
        <w:szCs w:val="18"/>
        <w:lang w:val="en-US"/>
      </w:rPr>
      <w:t xml:space="preserve">Tel: + 48 22 820 20 20; 691 060 202 </w:t>
    </w:r>
  </w:p>
  <w:p w14:paraId="45748465" w14:textId="77777777" w:rsidR="009B4210" w:rsidRPr="00A93C87" w:rsidRDefault="009B4210" w:rsidP="009B4210">
    <w:pPr>
      <w:widowControl w:val="0"/>
      <w:pBdr>
        <w:top w:val="nil"/>
        <w:left w:val="nil"/>
        <w:bottom w:val="nil"/>
        <w:right w:val="nil"/>
        <w:between w:val="nil"/>
      </w:pBdr>
      <w:spacing w:before="8" w:line="240" w:lineRule="auto"/>
      <w:ind w:left="257"/>
      <w:rPr>
        <w:rFonts w:ascii="Calibri" w:eastAsia="Calibri" w:hAnsi="Calibri" w:cs="Calibri"/>
        <w:b/>
        <w:bCs/>
        <w:color w:val="696B6B"/>
        <w:sz w:val="18"/>
        <w:szCs w:val="18"/>
        <w:lang w:val="en-US"/>
      </w:rPr>
    </w:pPr>
    <w:r w:rsidRPr="00A93C87">
      <w:rPr>
        <w:rFonts w:ascii="Calibri" w:eastAsia="Calibri" w:hAnsi="Calibri" w:cs="Calibri"/>
        <w:b/>
        <w:bCs/>
        <w:color w:val="696B6B"/>
        <w:sz w:val="18"/>
        <w:szCs w:val="18"/>
        <w:lang w:val="en-US"/>
      </w:rPr>
      <w:t xml:space="preserve">e-mail: Karolina.samczynska@cushwake.com </w:t>
    </w:r>
  </w:p>
  <w:p w14:paraId="14752AAB" w14:textId="77777777" w:rsidR="009B4210" w:rsidRPr="00A93C87" w:rsidRDefault="009B4210">
    <w:pPr>
      <w:pStyle w:val="Stopk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BAB7B" w14:textId="77777777" w:rsidR="00B6089F" w:rsidRDefault="00B6089F" w:rsidP="009B4210">
      <w:pPr>
        <w:spacing w:line="240" w:lineRule="auto"/>
      </w:pPr>
      <w:r>
        <w:separator/>
      </w:r>
    </w:p>
  </w:footnote>
  <w:footnote w:type="continuationSeparator" w:id="0">
    <w:p w14:paraId="46848532" w14:textId="77777777" w:rsidR="00B6089F" w:rsidRDefault="00B6089F" w:rsidP="009B42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98E04" w14:textId="3BFB840E" w:rsidR="009B4210" w:rsidRDefault="009B4210">
    <w:pPr>
      <w:pStyle w:val="Nagwek"/>
    </w:pPr>
    <w:r>
      <w:rPr>
        <w:noProof/>
        <w:color w:val="000000"/>
      </w:rPr>
      <w:drawing>
        <wp:anchor distT="0" distB="0" distL="114300" distR="114300" simplePos="0" relativeHeight="251659264" behindDoc="0" locked="0" layoutInCell="1" allowOverlap="1" wp14:anchorId="3B05D23F" wp14:editId="5806C29F">
          <wp:simplePos x="0" y="0"/>
          <wp:positionH relativeFrom="column">
            <wp:posOffset>0</wp:posOffset>
          </wp:positionH>
          <wp:positionV relativeFrom="paragraph">
            <wp:posOffset>292100</wp:posOffset>
          </wp:positionV>
          <wp:extent cx="1701165" cy="321945"/>
          <wp:effectExtent l="0" t="0" r="635" b="0"/>
          <wp:wrapSquare wrapText="bothSides"/>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701165" cy="321945"/>
                  </a:xfrm>
                  <a:prstGeom prst="rect">
                    <a:avLst/>
                  </a:prstGeom>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91C"/>
    <w:rsid w:val="0001791C"/>
    <w:rsid w:val="00080EDF"/>
    <w:rsid w:val="000866FD"/>
    <w:rsid w:val="000D0BF9"/>
    <w:rsid w:val="001043F9"/>
    <w:rsid w:val="001E600B"/>
    <w:rsid w:val="00391C79"/>
    <w:rsid w:val="003F60F6"/>
    <w:rsid w:val="003F6879"/>
    <w:rsid w:val="00540CA4"/>
    <w:rsid w:val="00730652"/>
    <w:rsid w:val="007420F8"/>
    <w:rsid w:val="00861677"/>
    <w:rsid w:val="008929EE"/>
    <w:rsid w:val="0089677C"/>
    <w:rsid w:val="008A3D98"/>
    <w:rsid w:val="008E688B"/>
    <w:rsid w:val="0090554C"/>
    <w:rsid w:val="009B4210"/>
    <w:rsid w:val="00A36D5B"/>
    <w:rsid w:val="00A93C87"/>
    <w:rsid w:val="00AC38BA"/>
    <w:rsid w:val="00B33AC0"/>
    <w:rsid w:val="00B6089F"/>
    <w:rsid w:val="00BF461B"/>
    <w:rsid w:val="00D12461"/>
    <w:rsid w:val="00F05602"/>
    <w:rsid w:val="00F41716"/>
    <w:rsid w:val="00FE4F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E062B"/>
  <w15:docId w15:val="{7ABE472A-C5E1-1B47-9816-8E194501D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paragraph" w:styleId="Poprawka">
    <w:name w:val="Revision"/>
    <w:hidden/>
    <w:uiPriority w:val="99"/>
    <w:semiHidden/>
    <w:rsid w:val="000D0BF9"/>
    <w:pPr>
      <w:spacing w:line="240" w:lineRule="auto"/>
    </w:pPr>
  </w:style>
  <w:style w:type="paragraph" w:styleId="Nagwek">
    <w:name w:val="header"/>
    <w:basedOn w:val="Normalny"/>
    <w:link w:val="NagwekZnak"/>
    <w:uiPriority w:val="99"/>
    <w:unhideWhenUsed/>
    <w:rsid w:val="009B4210"/>
    <w:pPr>
      <w:tabs>
        <w:tab w:val="center" w:pos="4513"/>
        <w:tab w:val="right" w:pos="9026"/>
      </w:tabs>
      <w:spacing w:line="240" w:lineRule="auto"/>
    </w:pPr>
  </w:style>
  <w:style w:type="character" w:customStyle="1" w:styleId="NagwekZnak">
    <w:name w:val="Nagłówek Znak"/>
    <w:basedOn w:val="Domylnaczcionkaakapitu"/>
    <w:link w:val="Nagwek"/>
    <w:uiPriority w:val="99"/>
    <w:rsid w:val="009B4210"/>
  </w:style>
  <w:style w:type="paragraph" w:styleId="Stopka">
    <w:name w:val="footer"/>
    <w:basedOn w:val="Normalny"/>
    <w:link w:val="StopkaZnak"/>
    <w:uiPriority w:val="99"/>
    <w:unhideWhenUsed/>
    <w:rsid w:val="009B4210"/>
    <w:pPr>
      <w:tabs>
        <w:tab w:val="center" w:pos="4513"/>
        <w:tab w:val="right" w:pos="9026"/>
      </w:tabs>
      <w:spacing w:line="240" w:lineRule="auto"/>
    </w:pPr>
  </w:style>
  <w:style w:type="character" w:customStyle="1" w:styleId="StopkaZnak">
    <w:name w:val="Stopka Znak"/>
    <w:basedOn w:val="Domylnaczcionkaakapitu"/>
    <w:link w:val="Stopka"/>
    <w:uiPriority w:val="99"/>
    <w:rsid w:val="009B4210"/>
  </w:style>
  <w:style w:type="paragraph" w:styleId="NormalnyWeb">
    <w:name w:val="Normal (Web)"/>
    <w:basedOn w:val="Normalny"/>
    <w:uiPriority w:val="99"/>
    <w:semiHidden/>
    <w:unhideWhenUsed/>
    <w:rsid w:val="009B4210"/>
    <w:rPr>
      <w:rFonts w:ascii="Times New Roman" w:hAnsi="Times New Roman" w:cs="Times New Roman"/>
      <w:sz w:val="24"/>
      <w:szCs w:val="24"/>
    </w:rPr>
  </w:style>
  <w:style w:type="character" w:styleId="Odwoaniedokomentarza">
    <w:name w:val="annotation reference"/>
    <w:basedOn w:val="Domylnaczcionkaakapitu"/>
    <w:uiPriority w:val="99"/>
    <w:semiHidden/>
    <w:unhideWhenUsed/>
    <w:rsid w:val="001043F9"/>
    <w:rPr>
      <w:sz w:val="16"/>
      <w:szCs w:val="16"/>
    </w:rPr>
  </w:style>
  <w:style w:type="paragraph" w:styleId="Tekstkomentarza">
    <w:name w:val="annotation text"/>
    <w:basedOn w:val="Normalny"/>
    <w:link w:val="TekstkomentarzaZnak"/>
    <w:uiPriority w:val="99"/>
    <w:unhideWhenUsed/>
    <w:rsid w:val="001043F9"/>
    <w:pPr>
      <w:spacing w:line="240" w:lineRule="auto"/>
    </w:pPr>
    <w:rPr>
      <w:sz w:val="20"/>
      <w:szCs w:val="20"/>
    </w:rPr>
  </w:style>
  <w:style w:type="character" w:customStyle="1" w:styleId="TekstkomentarzaZnak">
    <w:name w:val="Tekst komentarza Znak"/>
    <w:basedOn w:val="Domylnaczcionkaakapitu"/>
    <w:link w:val="Tekstkomentarza"/>
    <w:uiPriority w:val="99"/>
    <w:rsid w:val="001043F9"/>
    <w:rPr>
      <w:sz w:val="20"/>
      <w:szCs w:val="20"/>
    </w:rPr>
  </w:style>
  <w:style w:type="paragraph" w:styleId="Tematkomentarza">
    <w:name w:val="annotation subject"/>
    <w:basedOn w:val="Tekstkomentarza"/>
    <w:next w:val="Tekstkomentarza"/>
    <w:link w:val="TematkomentarzaZnak"/>
    <w:uiPriority w:val="99"/>
    <w:semiHidden/>
    <w:unhideWhenUsed/>
    <w:rsid w:val="001043F9"/>
    <w:rPr>
      <w:b/>
      <w:bCs/>
    </w:rPr>
  </w:style>
  <w:style w:type="character" w:customStyle="1" w:styleId="TematkomentarzaZnak">
    <w:name w:val="Temat komentarza Znak"/>
    <w:basedOn w:val="TekstkomentarzaZnak"/>
    <w:link w:val="Tematkomentarza"/>
    <w:uiPriority w:val="99"/>
    <w:semiHidden/>
    <w:rsid w:val="001043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92810">
      <w:bodyDiv w:val="1"/>
      <w:marLeft w:val="0"/>
      <w:marRight w:val="0"/>
      <w:marTop w:val="0"/>
      <w:marBottom w:val="0"/>
      <w:divBdr>
        <w:top w:val="none" w:sz="0" w:space="0" w:color="auto"/>
        <w:left w:val="none" w:sz="0" w:space="0" w:color="auto"/>
        <w:bottom w:val="none" w:sz="0" w:space="0" w:color="auto"/>
        <w:right w:val="none" w:sz="0" w:space="0" w:color="auto"/>
      </w:divBdr>
    </w:div>
    <w:div w:id="252322926">
      <w:bodyDiv w:val="1"/>
      <w:marLeft w:val="0"/>
      <w:marRight w:val="0"/>
      <w:marTop w:val="0"/>
      <w:marBottom w:val="0"/>
      <w:divBdr>
        <w:top w:val="none" w:sz="0" w:space="0" w:color="auto"/>
        <w:left w:val="none" w:sz="0" w:space="0" w:color="auto"/>
        <w:bottom w:val="none" w:sz="0" w:space="0" w:color="auto"/>
        <w:right w:val="none" w:sz="0" w:space="0" w:color="auto"/>
      </w:divBdr>
    </w:div>
    <w:div w:id="342248676">
      <w:bodyDiv w:val="1"/>
      <w:marLeft w:val="0"/>
      <w:marRight w:val="0"/>
      <w:marTop w:val="0"/>
      <w:marBottom w:val="0"/>
      <w:divBdr>
        <w:top w:val="none" w:sz="0" w:space="0" w:color="auto"/>
        <w:left w:val="none" w:sz="0" w:space="0" w:color="auto"/>
        <w:bottom w:val="none" w:sz="0" w:space="0" w:color="auto"/>
        <w:right w:val="none" w:sz="0" w:space="0" w:color="auto"/>
      </w:divBdr>
    </w:div>
    <w:div w:id="393546758">
      <w:bodyDiv w:val="1"/>
      <w:marLeft w:val="0"/>
      <w:marRight w:val="0"/>
      <w:marTop w:val="0"/>
      <w:marBottom w:val="0"/>
      <w:divBdr>
        <w:top w:val="none" w:sz="0" w:space="0" w:color="auto"/>
        <w:left w:val="none" w:sz="0" w:space="0" w:color="auto"/>
        <w:bottom w:val="none" w:sz="0" w:space="0" w:color="auto"/>
        <w:right w:val="none" w:sz="0" w:space="0" w:color="auto"/>
      </w:divBdr>
    </w:div>
    <w:div w:id="548998399">
      <w:bodyDiv w:val="1"/>
      <w:marLeft w:val="0"/>
      <w:marRight w:val="0"/>
      <w:marTop w:val="0"/>
      <w:marBottom w:val="0"/>
      <w:divBdr>
        <w:top w:val="none" w:sz="0" w:space="0" w:color="auto"/>
        <w:left w:val="none" w:sz="0" w:space="0" w:color="auto"/>
        <w:bottom w:val="none" w:sz="0" w:space="0" w:color="auto"/>
        <w:right w:val="none" w:sz="0" w:space="0" w:color="auto"/>
      </w:divBdr>
    </w:div>
    <w:div w:id="563294075">
      <w:bodyDiv w:val="1"/>
      <w:marLeft w:val="0"/>
      <w:marRight w:val="0"/>
      <w:marTop w:val="0"/>
      <w:marBottom w:val="0"/>
      <w:divBdr>
        <w:top w:val="none" w:sz="0" w:space="0" w:color="auto"/>
        <w:left w:val="none" w:sz="0" w:space="0" w:color="auto"/>
        <w:bottom w:val="none" w:sz="0" w:space="0" w:color="auto"/>
        <w:right w:val="none" w:sz="0" w:space="0" w:color="auto"/>
      </w:divBdr>
    </w:div>
    <w:div w:id="596059058">
      <w:bodyDiv w:val="1"/>
      <w:marLeft w:val="0"/>
      <w:marRight w:val="0"/>
      <w:marTop w:val="0"/>
      <w:marBottom w:val="0"/>
      <w:divBdr>
        <w:top w:val="none" w:sz="0" w:space="0" w:color="auto"/>
        <w:left w:val="none" w:sz="0" w:space="0" w:color="auto"/>
        <w:bottom w:val="none" w:sz="0" w:space="0" w:color="auto"/>
        <w:right w:val="none" w:sz="0" w:space="0" w:color="auto"/>
      </w:divBdr>
    </w:div>
    <w:div w:id="836648438">
      <w:bodyDiv w:val="1"/>
      <w:marLeft w:val="0"/>
      <w:marRight w:val="0"/>
      <w:marTop w:val="0"/>
      <w:marBottom w:val="0"/>
      <w:divBdr>
        <w:top w:val="none" w:sz="0" w:space="0" w:color="auto"/>
        <w:left w:val="none" w:sz="0" w:space="0" w:color="auto"/>
        <w:bottom w:val="none" w:sz="0" w:space="0" w:color="auto"/>
        <w:right w:val="none" w:sz="0" w:space="0" w:color="auto"/>
      </w:divBdr>
    </w:div>
    <w:div w:id="852064664">
      <w:bodyDiv w:val="1"/>
      <w:marLeft w:val="0"/>
      <w:marRight w:val="0"/>
      <w:marTop w:val="0"/>
      <w:marBottom w:val="0"/>
      <w:divBdr>
        <w:top w:val="none" w:sz="0" w:space="0" w:color="auto"/>
        <w:left w:val="none" w:sz="0" w:space="0" w:color="auto"/>
        <w:bottom w:val="none" w:sz="0" w:space="0" w:color="auto"/>
        <w:right w:val="none" w:sz="0" w:space="0" w:color="auto"/>
      </w:divBdr>
      <w:divsChild>
        <w:div w:id="13532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4084481">
      <w:bodyDiv w:val="1"/>
      <w:marLeft w:val="0"/>
      <w:marRight w:val="0"/>
      <w:marTop w:val="0"/>
      <w:marBottom w:val="0"/>
      <w:divBdr>
        <w:top w:val="none" w:sz="0" w:space="0" w:color="auto"/>
        <w:left w:val="none" w:sz="0" w:space="0" w:color="auto"/>
        <w:bottom w:val="none" w:sz="0" w:space="0" w:color="auto"/>
        <w:right w:val="none" w:sz="0" w:space="0" w:color="auto"/>
      </w:divBdr>
      <w:divsChild>
        <w:div w:id="1423145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554522">
      <w:bodyDiv w:val="1"/>
      <w:marLeft w:val="0"/>
      <w:marRight w:val="0"/>
      <w:marTop w:val="0"/>
      <w:marBottom w:val="0"/>
      <w:divBdr>
        <w:top w:val="none" w:sz="0" w:space="0" w:color="auto"/>
        <w:left w:val="none" w:sz="0" w:space="0" w:color="auto"/>
        <w:bottom w:val="none" w:sz="0" w:space="0" w:color="auto"/>
        <w:right w:val="none" w:sz="0" w:space="0" w:color="auto"/>
      </w:divBdr>
    </w:div>
    <w:div w:id="1703751510">
      <w:bodyDiv w:val="1"/>
      <w:marLeft w:val="0"/>
      <w:marRight w:val="0"/>
      <w:marTop w:val="0"/>
      <w:marBottom w:val="0"/>
      <w:divBdr>
        <w:top w:val="none" w:sz="0" w:space="0" w:color="auto"/>
        <w:left w:val="none" w:sz="0" w:space="0" w:color="auto"/>
        <w:bottom w:val="none" w:sz="0" w:space="0" w:color="auto"/>
        <w:right w:val="none" w:sz="0" w:space="0" w:color="auto"/>
      </w:divBdr>
    </w:div>
    <w:div w:id="1944527795">
      <w:bodyDiv w:val="1"/>
      <w:marLeft w:val="0"/>
      <w:marRight w:val="0"/>
      <w:marTop w:val="0"/>
      <w:marBottom w:val="0"/>
      <w:divBdr>
        <w:top w:val="none" w:sz="0" w:space="0" w:color="auto"/>
        <w:left w:val="none" w:sz="0" w:space="0" w:color="auto"/>
        <w:bottom w:val="none" w:sz="0" w:space="0" w:color="auto"/>
        <w:right w:val="none" w:sz="0" w:space="0" w:color="auto"/>
      </w:divBdr>
    </w:div>
    <w:div w:id="1975864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752</Words>
  <Characters>4514</Characters>
  <Application>Microsoft Office Word</Application>
  <DocSecurity>0</DocSecurity>
  <Lines>37</Lines>
  <Paragraphs>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a.ratajczyk</dc:creator>
  <cp:lastModifiedBy>Link Leaders</cp:lastModifiedBy>
  <cp:revision>3</cp:revision>
  <dcterms:created xsi:type="dcterms:W3CDTF">2026-07-22T09:33:00Z</dcterms:created>
  <dcterms:modified xsi:type="dcterms:W3CDTF">2026-07-22T10:03:00Z</dcterms:modified>
</cp:coreProperties>
</file>