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FFEC1" w14:textId="77777777" w:rsidR="00FA1605" w:rsidRPr="00D57AC6" w:rsidRDefault="00FA1605" w:rsidP="00FA1605">
      <w:pPr>
        <w:pStyle w:val="FirstParagraph"/>
        <w:ind w:left="2160" w:firstLine="720"/>
        <w:rPr>
          <w:rFonts w:ascii="Arial" w:hAnsi="Arial" w:cs="Arial"/>
          <w:b/>
          <w:bCs/>
          <w:sz w:val="20"/>
          <w:szCs w:val="20"/>
          <w:lang w:val="pl-PL"/>
        </w:rPr>
      </w:pPr>
      <w:r w:rsidRPr="00D57AC6">
        <w:rPr>
          <w:rFonts w:ascii="Arial" w:hAnsi="Arial" w:cs="Arial"/>
          <w:b/>
          <w:bCs/>
          <w:sz w:val="20"/>
          <w:szCs w:val="20"/>
          <w:lang w:val="pl-PL"/>
        </w:rPr>
        <w:t>Infrastruktura – nowa waluta geopolityki</w:t>
      </w:r>
    </w:p>
    <w:p w14:paraId="1A01251F" w14:textId="77777777" w:rsidR="00FA1605" w:rsidRPr="00D57AC6" w:rsidRDefault="00FA1605" w:rsidP="00FA1605">
      <w:pPr>
        <w:jc w:val="both"/>
        <w:rPr>
          <w:b/>
          <w:bCs/>
          <w:sz w:val="20"/>
          <w:szCs w:val="20"/>
          <w:lang w:val="pl-PL"/>
        </w:rPr>
      </w:pPr>
      <w:r w:rsidRPr="00D57AC6">
        <w:rPr>
          <w:b/>
          <w:bCs/>
          <w:sz w:val="20"/>
          <w:szCs w:val="20"/>
          <w:lang w:val="pl-PL"/>
        </w:rPr>
        <w:t xml:space="preserve">Globalny handel wchodzi w fazę, w której o kierunkach przepływu towarów coraz częściej decyduje nie tylko koszt produkcji, ale również bezpieczeństwo, przewidywalność i dostęp do infrastruktury. Jak wskazuje raport </w:t>
      </w:r>
      <w:proofErr w:type="spellStart"/>
      <w:r w:rsidRPr="00D57AC6">
        <w:rPr>
          <w:b/>
          <w:bCs/>
          <w:sz w:val="20"/>
          <w:szCs w:val="20"/>
          <w:lang w:val="pl-PL"/>
        </w:rPr>
        <w:t>Cushman</w:t>
      </w:r>
      <w:proofErr w:type="spellEnd"/>
      <w:r w:rsidRPr="00D57AC6">
        <w:rPr>
          <w:b/>
          <w:bCs/>
          <w:sz w:val="20"/>
          <w:szCs w:val="20"/>
          <w:lang w:val="pl-PL"/>
        </w:rPr>
        <w:t xml:space="preserve"> &amp; Wakefield „Waypoint: Global </w:t>
      </w:r>
      <w:proofErr w:type="spellStart"/>
      <w:r w:rsidRPr="00D57AC6">
        <w:rPr>
          <w:b/>
          <w:bCs/>
          <w:sz w:val="20"/>
          <w:szCs w:val="20"/>
          <w:lang w:val="pl-PL"/>
        </w:rPr>
        <w:t>Industrial</w:t>
      </w:r>
      <w:proofErr w:type="spellEnd"/>
      <w:r w:rsidRPr="00D57AC6">
        <w:rPr>
          <w:b/>
          <w:bCs/>
          <w:sz w:val="20"/>
          <w:szCs w:val="20"/>
          <w:lang w:val="pl-PL"/>
        </w:rPr>
        <w:t xml:space="preserve"> Dynamics 2026”, łańcuchy dostaw funkcjonują dziś w warunkach strukturalnej niepewności, a zakłócenia stały się elementem codziennego planowania operacyjnego. To dla Polski szansa na przesunięcie się znacznie w górę, jeżeli chodzi o europejski rynek logistyczny. Pod warunkiem, że zmaterializują się plany kluczowych inwestycji infrastrukturalnych.</w:t>
      </w:r>
    </w:p>
    <w:p w14:paraId="5778A6FC" w14:textId="77777777" w:rsidR="00FA1605" w:rsidRPr="00D57AC6" w:rsidRDefault="00FA1605" w:rsidP="00FA1605">
      <w:pPr>
        <w:jc w:val="both"/>
        <w:rPr>
          <w:sz w:val="20"/>
          <w:szCs w:val="20"/>
          <w:lang w:val="pl-PL"/>
        </w:rPr>
      </w:pPr>
      <w:r w:rsidRPr="00D57AC6">
        <w:rPr>
          <w:sz w:val="20"/>
          <w:szCs w:val="20"/>
          <w:lang w:val="pl-PL"/>
        </w:rPr>
        <w:t xml:space="preserve">W praktyce oznacza to, że firmy nie pytają już wyłącznie o najtańszą trasę dostaw, ale o trasę, którą można utrzymać, zmienić lub zabezpieczyć w warunkach napięć handlowych, geopolitycznych i kosztowych. Ten mechanizm dobrze pokazuje przykład Stanów Zjednoczonych. W raporcie </w:t>
      </w:r>
      <w:proofErr w:type="spellStart"/>
      <w:r w:rsidRPr="00D57AC6">
        <w:rPr>
          <w:sz w:val="20"/>
          <w:szCs w:val="20"/>
          <w:lang w:val="pl-PL"/>
        </w:rPr>
        <w:t>Cushman</w:t>
      </w:r>
      <w:proofErr w:type="spellEnd"/>
      <w:r w:rsidRPr="00D57AC6">
        <w:rPr>
          <w:sz w:val="20"/>
          <w:szCs w:val="20"/>
          <w:lang w:val="pl-PL"/>
        </w:rPr>
        <w:t xml:space="preserve"> &amp; Wakefield „</w:t>
      </w:r>
      <w:proofErr w:type="spellStart"/>
      <w:r w:rsidRPr="00D57AC6">
        <w:rPr>
          <w:sz w:val="20"/>
          <w:szCs w:val="20"/>
          <w:lang w:val="pl-PL"/>
        </w:rPr>
        <w:t>North</w:t>
      </w:r>
      <w:proofErr w:type="spellEnd"/>
      <w:r w:rsidRPr="00D57AC6">
        <w:rPr>
          <w:sz w:val="20"/>
          <w:szCs w:val="20"/>
          <w:lang w:val="pl-PL"/>
        </w:rPr>
        <w:t xml:space="preserve"> </w:t>
      </w:r>
      <w:proofErr w:type="spellStart"/>
      <w:r w:rsidRPr="00D57AC6">
        <w:rPr>
          <w:sz w:val="20"/>
          <w:szCs w:val="20"/>
          <w:lang w:val="pl-PL"/>
        </w:rPr>
        <w:t>America</w:t>
      </w:r>
      <w:proofErr w:type="spellEnd"/>
      <w:r w:rsidRPr="00D57AC6">
        <w:rPr>
          <w:sz w:val="20"/>
          <w:szCs w:val="20"/>
          <w:lang w:val="pl-PL"/>
        </w:rPr>
        <w:t xml:space="preserve"> </w:t>
      </w:r>
      <w:proofErr w:type="spellStart"/>
      <w:r w:rsidRPr="00D57AC6">
        <w:rPr>
          <w:sz w:val="20"/>
          <w:szCs w:val="20"/>
          <w:lang w:val="pl-PL"/>
        </w:rPr>
        <w:t>Ports</w:t>
      </w:r>
      <w:proofErr w:type="spellEnd"/>
      <w:r w:rsidRPr="00D57AC6">
        <w:rPr>
          <w:sz w:val="20"/>
          <w:szCs w:val="20"/>
          <w:lang w:val="pl-PL"/>
        </w:rPr>
        <w:t xml:space="preserve"> and Trade Update: 2025 in </w:t>
      </w:r>
      <w:proofErr w:type="spellStart"/>
      <w:r w:rsidRPr="00D57AC6">
        <w:rPr>
          <w:sz w:val="20"/>
          <w:szCs w:val="20"/>
          <w:lang w:val="pl-PL"/>
        </w:rPr>
        <w:t>Review</w:t>
      </w:r>
      <w:proofErr w:type="spellEnd"/>
      <w:r w:rsidRPr="00D57AC6">
        <w:rPr>
          <w:sz w:val="20"/>
          <w:szCs w:val="20"/>
          <w:lang w:val="pl-PL"/>
        </w:rPr>
        <w:t xml:space="preserve">” zwrócono uwagę, że zapowiedzi wyższych ceł importowych, częste komunikaty dotyczące polityki handlowej oraz nierozwiązane spory między największymi gospodarkami przełożyły się na realne decyzje operacyjne firm. </w:t>
      </w:r>
      <w:r w:rsidRPr="00D57AC6">
        <w:rPr>
          <w:rFonts w:eastAsiaTheme="minorEastAsia"/>
          <w:color w:val="000000"/>
          <w:sz w:val="20"/>
          <w:szCs w:val="20"/>
          <w:lang w:val="pl-PL"/>
        </w:rPr>
        <w:t>Blisko 70% firm w regionie EMEA (Europa, Bliski Wschód i Afryka) deklaruje, że wydarzenia geopolityczne (np. skokowe wzrosty cen energii) opóźniły ich decyzje o wynajmie powierzchni, z czego u większości o rok lub krócej.</w:t>
      </w:r>
      <w:r w:rsidRPr="00D57AC6">
        <w:rPr>
          <w:sz w:val="20"/>
          <w:szCs w:val="20"/>
          <w:lang w:val="pl-PL"/>
        </w:rPr>
        <w:t xml:space="preserve"> Importerzy przyspieszali dostawy przed wejściem ceł w życie, a następnie ograniczali wolumeny po uzupełnieniu zapasów lub zmianie kosztów. Równocześnie część popytu przemysłowego zaczęła przesuwać się z droższych rynków portowych w stronę większych i bardziej konkurencyjnych kosztowo </w:t>
      </w:r>
      <w:proofErr w:type="spellStart"/>
      <w:r w:rsidRPr="00D57AC6">
        <w:rPr>
          <w:sz w:val="20"/>
          <w:szCs w:val="20"/>
          <w:lang w:val="pl-PL"/>
        </w:rPr>
        <w:t>hubów</w:t>
      </w:r>
      <w:proofErr w:type="spellEnd"/>
      <w:r w:rsidRPr="00D57AC6">
        <w:rPr>
          <w:sz w:val="20"/>
          <w:szCs w:val="20"/>
          <w:lang w:val="pl-PL"/>
        </w:rPr>
        <w:t xml:space="preserve"> śródlądowych.</w:t>
      </w:r>
    </w:p>
    <w:p w14:paraId="4AAAF008" w14:textId="77777777" w:rsidR="00FA1605" w:rsidRPr="00D57AC6" w:rsidRDefault="00FA1605" w:rsidP="00FA1605">
      <w:pPr>
        <w:jc w:val="both"/>
        <w:rPr>
          <w:sz w:val="20"/>
          <w:szCs w:val="20"/>
          <w:lang w:val="pl-PL"/>
        </w:rPr>
      </w:pPr>
      <w:r w:rsidRPr="00D57AC6">
        <w:rPr>
          <w:sz w:val="20"/>
          <w:szCs w:val="20"/>
          <w:lang w:val="pl-PL"/>
        </w:rPr>
        <w:t xml:space="preserve">To ważny sygnał dla Europy. Geopolityka nie jest już tłem dla decyzji logistycznych, ale jednym z parametrów projektowania sieci dostaw. Rosnąca fragmentacja handlu, regionalizacja produkcji, presja na wyższe bufory zapasów oraz większe wydatki na bezpieczeństwo i obronność wzmacniają znaczenie infrastruktury, która może obsłużyć alternatywne trasy, większe wolumeny i bardziej złożone operacje. Kapitał i towary będą płynąć tam, gdzie istnieją bezpieczne, wielkoskalowe i dobrze skomunikowane węzły. </w:t>
      </w:r>
    </w:p>
    <w:p w14:paraId="1AC73E9F" w14:textId="77777777" w:rsidR="00FA1605" w:rsidRPr="00D57AC6" w:rsidRDefault="00FA1605" w:rsidP="00FA1605">
      <w:pPr>
        <w:jc w:val="both"/>
        <w:rPr>
          <w:sz w:val="20"/>
          <w:szCs w:val="20"/>
          <w:lang w:val="pl-PL"/>
        </w:rPr>
      </w:pPr>
      <w:r w:rsidRPr="00D57AC6">
        <w:rPr>
          <w:sz w:val="20"/>
          <w:szCs w:val="20"/>
          <w:lang w:val="pl-PL"/>
        </w:rPr>
        <w:t xml:space="preserve">W tym kontekście </w:t>
      </w:r>
      <w:proofErr w:type="spellStart"/>
      <w:r w:rsidRPr="00D57AC6">
        <w:rPr>
          <w:sz w:val="20"/>
          <w:szCs w:val="20"/>
          <w:lang w:val="pl-PL"/>
        </w:rPr>
        <w:t>nearshoring</w:t>
      </w:r>
      <w:proofErr w:type="spellEnd"/>
      <w:r w:rsidRPr="00D57AC6">
        <w:rPr>
          <w:sz w:val="20"/>
          <w:szCs w:val="20"/>
          <w:lang w:val="pl-PL"/>
        </w:rPr>
        <w:t xml:space="preserve"> należy rozumieć szerzej niż przenoszenie produkcji bliżej rynków zbytu. To także budowanie odporności przez dywersyfikację dostawców, tworzenie dodatkowych punktów magazynowania i przeładunku, zwiększanie kontroli nad zapasami oraz możliwość szybkiego przełączania się między transportem morskim, kolejowym, drogowym i lotniczym. </w:t>
      </w:r>
    </w:p>
    <w:p w14:paraId="68BA19D3" w14:textId="77777777" w:rsidR="00FA1605" w:rsidRPr="00D57AC6" w:rsidRDefault="00FA1605" w:rsidP="00FA1605">
      <w:pPr>
        <w:jc w:val="both"/>
        <w:rPr>
          <w:b/>
          <w:bCs/>
          <w:sz w:val="20"/>
          <w:szCs w:val="20"/>
          <w:lang w:val="pl-PL"/>
        </w:rPr>
      </w:pPr>
      <w:r w:rsidRPr="00D57AC6">
        <w:rPr>
          <w:b/>
          <w:bCs/>
          <w:sz w:val="20"/>
          <w:szCs w:val="20"/>
          <w:lang w:val="pl-PL"/>
        </w:rPr>
        <w:t>Huby multimodalne i rozwój infrastruktury energetycznej szansą dla Polski</w:t>
      </w:r>
    </w:p>
    <w:p w14:paraId="467D991B" w14:textId="77777777" w:rsidR="00FA1605" w:rsidRPr="00D57AC6" w:rsidRDefault="00FA1605" w:rsidP="00FA1605">
      <w:pPr>
        <w:jc w:val="both"/>
        <w:rPr>
          <w:sz w:val="20"/>
          <w:szCs w:val="20"/>
          <w:lang w:val="pl-PL"/>
        </w:rPr>
      </w:pPr>
      <w:r w:rsidRPr="00D57AC6">
        <w:rPr>
          <w:sz w:val="20"/>
          <w:szCs w:val="20"/>
          <w:lang w:val="pl-PL"/>
        </w:rPr>
        <w:t xml:space="preserve">Polska znajduje się w centrum tej zmiany. Jej położenie między Europą Zachodnią, regionem CEE, krajami bałtyckimi i Ukrainą jest atutem, ale o realnej pozycji rynku zdecyduje skala i jakość infrastruktury: portów morskich, lotnisk, kolei, dróg, terminali intermodalnych, sieci energetycznych oraz przygotowanych gruntów inwestycyjnych. Rozwój terminali głębokowodnych, inwestycje w sieci przesyłowe, energetykę, projekt Port </w:t>
      </w:r>
      <w:r w:rsidRPr="00D57AC6">
        <w:rPr>
          <w:sz w:val="20"/>
          <w:szCs w:val="20"/>
          <w:lang w:val="pl-PL"/>
        </w:rPr>
        <w:lastRenderedPageBreak/>
        <w:t>Polska i nowe korytarze transportowe mogą więc stać się nie tylko inwestycjami infrastrukturalnymi, lecz także narzędziami przesuwania przepływów handlu, produkcji i kapitału w stronę Polski.</w:t>
      </w:r>
    </w:p>
    <w:p w14:paraId="4DB2A2A1" w14:textId="65775BA2" w:rsidR="00096652" w:rsidRPr="00D57AC6" w:rsidRDefault="00096652" w:rsidP="00FA1605">
      <w:pPr>
        <w:jc w:val="both"/>
        <w:rPr>
          <w:b/>
          <w:bCs/>
          <w:sz w:val="20"/>
          <w:szCs w:val="20"/>
          <w:lang w:val="pl-PL"/>
        </w:rPr>
      </w:pPr>
      <w:r w:rsidRPr="00D57AC6">
        <w:rPr>
          <w:i/>
          <w:iCs/>
          <w:sz w:val="20"/>
          <w:szCs w:val="20"/>
          <w:lang w:val="pl-PL"/>
        </w:rPr>
        <w:t xml:space="preserve">– </w:t>
      </w:r>
      <w:r w:rsidRPr="00D57AC6">
        <w:rPr>
          <w:i/>
          <w:iCs/>
          <w:sz w:val="20"/>
          <w:szCs w:val="20"/>
          <w:lang w:val="pl-PL"/>
        </w:rPr>
        <w:t xml:space="preserve">Przez lata najemcy wybierali </w:t>
      </w:r>
      <w:r w:rsidRPr="00D57AC6">
        <w:rPr>
          <w:i/>
          <w:iCs/>
          <w:sz w:val="20"/>
          <w:szCs w:val="20"/>
          <w:lang w:val="pl-PL"/>
        </w:rPr>
        <w:t>lokalizacje logistyczno-przemysłowe</w:t>
      </w:r>
      <w:r w:rsidRPr="00D57AC6">
        <w:rPr>
          <w:i/>
          <w:iCs/>
          <w:sz w:val="20"/>
          <w:szCs w:val="20"/>
          <w:lang w:val="pl-PL"/>
        </w:rPr>
        <w:t xml:space="preserve"> głównie </w:t>
      </w:r>
      <w:r w:rsidRPr="00D57AC6">
        <w:rPr>
          <w:i/>
          <w:iCs/>
          <w:sz w:val="20"/>
          <w:szCs w:val="20"/>
          <w:lang w:val="pl-PL"/>
        </w:rPr>
        <w:t>przez pryzmat wysokości</w:t>
      </w:r>
      <w:r w:rsidRPr="00D57AC6">
        <w:rPr>
          <w:i/>
          <w:iCs/>
          <w:sz w:val="20"/>
          <w:szCs w:val="20"/>
          <w:lang w:val="pl-PL"/>
        </w:rPr>
        <w:t xml:space="preserve"> czynszu. Dziś to punkt wyjści</w:t>
      </w:r>
      <w:r w:rsidRPr="00D57AC6">
        <w:rPr>
          <w:i/>
          <w:iCs/>
          <w:sz w:val="20"/>
          <w:szCs w:val="20"/>
          <w:lang w:val="pl-PL"/>
        </w:rPr>
        <w:t>a w dłuższym procesie podejmowania decyzji</w:t>
      </w:r>
      <w:r w:rsidRPr="00D57AC6">
        <w:rPr>
          <w:i/>
          <w:iCs/>
          <w:sz w:val="20"/>
          <w:szCs w:val="20"/>
          <w:lang w:val="pl-PL"/>
        </w:rPr>
        <w:t xml:space="preserve">. </w:t>
      </w:r>
      <w:r w:rsidRPr="00D57AC6">
        <w:rPr>
          <w:i/>
          <w:iCs/>
          <w:sz w:val="20"/>
          <w:szCs w:val="20"/>
          <w:lang w:val="pl-PL"/>
        </w:rPr>
        <w:t>Przedsiębiorcy muszą rozważyć, jak nagłe zamknięcie szlaku</w:t>
      </w:r>
      <w:r w:rsidRPr="00D57AC6">
        <w:rPr>
          <w:i/>
          <w:iCs/>
          <w:sz w:val="20"/>
          <w:szCs w:val="20"/>
          <w:lang w:val="pl-PL"/>
        </w:rPr>
        <w:t xml:space="preserve"> dostaw</w:t>
      </w:r>
      <w:r w:rsidRPr="00D57AC6">
        <w:rPr>
          <w:i/>
          <w:iCs/>
          <w:sz w:val="20"/>
          <w:szCs w:val="20"/>
          <w:lang w:val="pl-PL"/>
        </w:rPr>
        <w:t xml:space="preserve"> – np. z powodu konfliktu,</w:t>
      </w:r>
      <w:r w:rsidRPr="00D57AC6">
        <w:rPr>
          <w:i/>
          <w:iCs/>
          <w:sz w:val="20"/>
          <w:szCs w:val="20"/>
          <w:lang w:val="pl-PL"/>
        </w:rPr>
        <w:t xml:space="preserve"> nowe</w:t>
      </w:r>
      <w:r w:rsidRPr="00D57AC6">
        <w:rPr>
          <w:i/>
          <w:iCs/>
          <w:sz w:val="20"/>
          <w:szCs w:val="20"/>
          <w:lang w:val="pl-PL"/>
        </w:rPr>
        <w:t>go</w:t>
      </w:r>
      <w:r w:rsidRPr="00D57AC6">
        <w:rPr>
          <w:i/>
          <w:iCs/>
          <w:sz w:val="20"/>
          <w:szCs w:val="20"/>
          <w:lang w:val="pl-PL"/>
        </w:rPr>
        <w:t xml:space="preserve"> </w:t>
      </w:r>
      <w:r w:rsidR="00D57AC6" w:rsidRPr="00D57AC6">
        <w:rPr>
          <w:i/>
          <w:iCs/>
          <w:sz w:val="20"/>
          <w:szCs w:val="20"/>
          <w:lang w:val="pl-PL"/>
        </w:rPr>
        <w:t>cła</w:t>
      </w:r>
      <w:r w:rsidRPr="00D57AC6">
        <w:rPr>
          <w:i/>
          <w:iCs/>
          <w:sz w:val="20"/>
          <w:szCs w:val="20"/>
          <w:lang w:val="pl-PL"/>
        </w:rPr>
        <w:t xml:space="preserve"> albo skokow</w:t>
      </w:r>
      <w:r w:rsidRPr="00D57AC6">
        <w:rPr>
          <w:i/>
          <w:iCs/>
          <w:sz w:val="20"/>
          <w:szCs w:val="20"/>
          <w:lang w:val="pl-PL"/>
        </w:rPr>
        <w:t>ego</w:t>
      </w:r>
      <w:r w:rsidRPr="00D57AC6">
        <w:rPr>
          <w:i/>
          <w:iCs/>
          <w:sz w:val="20"/>
          <w:szCs w:val="20"/>
          <w:lang w:val="pl-PL"/>
        </w:rPr>
        <w:t xml:space="preserve"> wzrost</w:t>
      </w:r>
      <w:r w:rsidRPr="00D57AC6">
        <w:rPr>
          <w:i/>
          <w:iCs/>
          <w:sz w:val="20"/>
          <w:szCs w:val="20"/>
          <w:lang w:val="pl-PL"/>
        </w:rPr>
        <w:t>u</w:t>
      </w:r>
      <w:r w:rsidRPr="00D57AC6">
        <w:rPr>
          <w:i/>
          <w:iCs/>
          <w:sz w:val="20"/>
          <w:szCs w:val="20"/>
          <w:lang w:val="pl-PL"/>
        </w:rPr>
        <w:t xml:space="preserve"> kosztów frachtu</w:t>
      </w:r>
      <w:r w:rsidRPr="00D57AC6">
        <w:rPr>
          <w:i/>
          <w:iCs/>
          <w:sz w:val="20"/>
          <w:szCs w:val="20"/>
          <w:lang w:val="pl-PL"/>
        </w:rPr>
        <w:t xml:space="preserve"> – wpłynie na ich działalność operacyjną w danej lokalizacji</w:t>
      </w:r>
      <w:r w:rsidRPr="00D57AC6">
        <w:rPr>
          <w:i/>
          <w:iCs/>
          <w:sz w:val="20"/>
          <w:szCs w:val="20"/>
          <w:lang w:val="pl-PL"/>
        </w:rPr>
        <w:t xml:space="preserve">. Dlatego wygrywają </w:t>
      </w:r>
      <w:r w:rsidRPr="00D57AC6">
        <w:rPr>
          <w:i/>
          <w:iCs/>
          <w:sz w:val="20"/>
          <w:szCs w:val="20"/>
          <w:lang w:val="pl-PL"/>
        </w:rPr>
        <w:t>miejsca</w:t>
      </w:r>
      <w:r w:rsidRPr="00D57AC6">
        <w:rPr>
          <w:i/>
          <w:iCs/>
          <w:sz w:val="20"/>
          <w:szCs w:val="20"/>
          <w:lang w:val="pl-PL"/>
        </w:rPr>
        <w:t xml:space="preserve">, z których da się obsłużyć dostawy z kilku kierunków, </w:t>
      </w:r>
      <w:r w:rsidRPr="00D57AC6">
        <w:rPr>
          <w:i/>
          <w:iCs/>
          <w:sz w:val="20"/>
          <w:szCs w:val="20"/>
          <w:lang w:val="pl-PL"/>
        </w:rPr>
        <w:t>utrzymywać odpowiedni zapas materiałów czy produktów</w:t>
      </w:r>
      <w:r w:rsidRPr="00D57AC6">
        <w:rPr>
          <w:i/>
          <w:iCs/>
          <w:sz w:val="20"/>
          <w:szCs w:val="20"/>
          <w:lang w:val="pl-PL"/>
        </w:rPr>
        <w:t xml:space="preserve"> bliżej klienta i </w:t>
      </w:r>
      <w:r w:rsidR="00D57AC6" w:rsidRPr="00D57AC6">
        <w:rPr>
          <w:i/>
          <w:iCs/>
          <w:sz w:val="20"/>
          <w:szCs w:val="20"/>
          <w:lang w:val="pl-PL"/>
        </w:rPr>
        <w:t>kontynuować działalność nawet w obliczu rynkowych zawirowań</w:t>
      </w:r>
      <w:r w:rsidRPr="00D57AC6">
        <w:rPr>
          <w:i/>
          <w:iCs/>
          <w:sz w:val="20"/>
          <w:szCs w:val="20"/>
          <w:lang w:val="pl-PL"/>
        </w:rPr>
        <w:t xml:space="preserve">. </w:t>
      </w:r>
      <w:r w:rsidR="00D57AC6" w:rsidRPr="00D57AC6">
        <w:rPr>
          <w:i/>
          <w:iCs/>
          <w:sz w:val="20"/>
          <w:szCs w:val="20"/>
        </w:rPr>
        <w:t xml:space="preserve">O tym, czy dana lokalizacja rzeczywiście się sprawdza, decydują dziś trzy czynniki: stabilne dostawy energii, dostęp do pracowników oraz sprawny start operacji. Inwestycje w infrastrukturę wzmocnią pozycję Polski tylko wtedy, gdy przełożą się na miejsca, w których biznes może działać nieprzerwanie, a nie jedynie </w:t>
      </w:r>
      <w:r w:rsidR="00D57AC6" w:rsidRPr="00D57AC6">
        <w:rPr>
          <w:i/>
          <w:iCs/>
          <w:sz w:val="20"/>
          <w:szCs w:val="20"/>
        </w:rPr>
        <w:t xml:space="preserve">korzystnie wyglądające na mapie </w:t>
      </w:r>
      <w:r w:rsidRPr="00D57AC6">
        <w:rPr>
          <w:i/>
          <w:iCs/>
          <w:sz w:val="20"/>
          <w:szCs w:val="20"/>
          <w:lang w:val="pl-PL"/>
        </w:rPr>
        <w:t xml:space="preserve">– </w:t>
      </w:r>
      <w:r w:rsidRPr="00D57AC6">
        <w:rPr>
          <w:sz w:val="20"/>
          <w:szCs w:val="20"/>
          <w:lang w:val="pl-PL"/>
        </w:rPr>
        <w:t xml:space="preserve">zaznacza </w:t>
      </w:r>
      <w:r w:rsidRPr="00D57AC6">
        <w:rPr>
          <w:b/>
          <w:bCs/>
          <w:sz w:val="20"/>
          <w:szCs w:val="20"/>
          <w:lang w:val="pl-PL"/>
        </w:rPr>
        <w:t xml:space="preserve">Szczepan Gowin, </w:t>
      </w:r>
      <w:proofErr w:type="spellStart"/>
      <w:r w:rsidRPr="00D57AC6">
        <w:rPr>
          <w:b/>
          <w:bCs/>
          <w:sz w:val="20"/>
          <w:szCs w:val="20"/>
          <w:lang w:val="pl-PL"/>
        </w:rPr>
        <w:t>Head</w:t>
      </w:r>
      <w:proofErr w:type="spellEnd"/>
      <w:r w:rsidRPr="00D57AC6">
        <w:rPr>
          <w:b/>
          <w:bCs/>
          <w:sz w:val="20"/>
          <w:szCs w:val="20"/>
          <w:lang w:val="pl-PL"/>
        </w:rPr>
        <w:t xml:space="preserve"> of </w:t>
      </w:r>
      <w:proofErr w:type="spellStart"/>
      <w:r w:rsidRPr="00D57AC6">
        <w:rPr>
          <w:b/>
          <w:bCs/>
          <w:sz w:val="20"/>
          <w:szCs w:val="20"/>
          <w:lang w:val="pl-PL"/>
        </w:rPr>
        <w:t>Industrial</w:t>
      </w:r>
      <w:proofErr w:type="spellEnd"/>
      <w:r w:rsidRPr="00D57AC6">
        <w:rPr>
          <w:b/>
          <w:bCs/>
          <w:sz w:val="20"/>
          <w:szCs w:val="20"/>
          <w:lang w:val="pl-PL"/>
        </w:rPr>
        <w:t xml:space="preserve"> &amp; Logistics </w:t>
      </w:r>
      <w:proofErr w:type="spellStart"/>
      <w:r w:rsidRPr="00D57AC6">
        <w:rPr>
          <w:b/>
          <w:bCs/>
          <w:sz w:val="20"/>
          <w:szCs w:val="20"/>
          <w:lang w:val="pl-PL"/>
        </w:rPr>
        <w:t>Agency</w:t>
      </w:r>
      <w:proofErr w:type="spellEnd"/>
      <w:r w:rsidRPr="00D57AC6">
        <w:rPr>
          <w:b/>
          <w:bCs/>
          <w:sz w:val="20"/>
          <w:szCs w:val="20"/>
          <w:lang w:val="pl-PL"/>
        </w:rPr>
        <w:t xml:space="preserve"> w </w:t>
      </w:r>
      <w:proofErr w:type="spellStart"/>
      <w:r w:rsidRPr="00D57AC6">
        <w:rPr>
          <w:b/>
          <w:bCs/>
          <w:sz w:val="20"/>
          <w:szCs w:val="20"/>
          <w:lang w:val="pl-PL"/>
        </w:rPr>
        <w:t>Cushman</w:t>
      </w:r>
      <w:proofErr w:type="spellEnd"/>
      <w:r w:rsidRPr="00D57AC6">
        <w:rPr>
          <w:b/>
          <w:bCs/>
          <w:sz w:val="20"/>
          <w:szCs w:val="20"/>
          <w:lang w:val="pl-PL"/>
        </w:rPr>
        <w:t xml:space="preserve"> &amp; Wakefield</w:t>
      </w:r>
      <w:r w:rsidR="00D57AC6" w:rsidRPr="00D57AC6">
        <w:rPr>
          <w:b/>
          <w:bCs/>
          <w:sz w:val="20"/>
          <w:szCs w:val="20"/>
          <w:lang w:val="pl-PL"/>
        </w:rPr>
        <w:t>.</w:t>
      </w:r>
    </w:p>
    <w:p w14:paraId="2B82C7DC" w14:textId="77777777" w:rsidR="00FA1605" w:rsidRPr="00D57AC6" w:rsidRDefault="00FA1605" w:rsidP="00FA1605">
      <w:pPr>
        <w:jc w:val="both"/>
        <w:rPr>
          <w:sz w:val="20"/>
          <w:szCs w:val="20"/>
          <w:lang w:val="pl-PL"/>
        </w:rPr>
      </w:pPr>
      <w:r w:rsidRPr="00D57AC6">
        <w:rPr>
          <w:sz w:val="20"/>
          <w:szCs w:val="20"/>
          <w:lang w:val="pl-PL"/>
        </w:rPr>
        <w:t xml:space="preserve">Znaczenie infrastruktury szczególnie wyraźnie widać na rynkach portowych. Analizy </w:t>
      </w:r>
      <w:proofErr w:type="spellStart"/>
      <w:r w:rsidRPr="00D57AC6">
        <w:rPr>
          <w:sz w:val="20"/>
          <w:szCs w:val="20"/>
          <w:lang w:val="pl-PL"/>
        </w:rPr>
        <w:t>Cushman</w:t>
      </w:r>
      <w:proofErr w:type="spellEnd"/>
      <w:r w:rsidRPr="00D57AC6">
        <w:rPr>
          <w:sz w:val="20"/>
          <w:szCs w:val="20"/>
          <w:lang w:val="pl-PL"/>
        </w:rPr>
        <w:t xml:space="preserve"> &amp; Wakefield dotyczące rynku trójmiejskiego pokazują, że ograniczona dostępność gruntów, rosnące znaczenie portów oraz rozwój infrastruktury drogowej wzmacniają popyt na dobrze położone i technicznie przygotowane obiekty logistyczne. To przykład szerszej zasady: sama obecność przy porcie nie wystarcza, jeśli lokalizacja nie jest częścią sprawnego systemu transportowego.</w:t>
      </w:r>
    </w:p>
    <w:p w14:paraId="5339FE7D" w14:textId="77777777" w:rsidR="00FA1605" w:rsidRPr="00D57AC6" w:rsidRDefault="00FA1605" w:rsidP="00FA1605">
      <w:pPr>
        <w:jc w:val="both"/>
        <w:rPr>
          <w:sz w:val="20"/>
          <w:szCs w:val="20"/>
          <w:lang w:val="pl-PL"/>
        </w:rPr>
      </w:pPr>
      <w:r w:rsidRPr="00D57AC6">
        <w:rPr>
          <w:sz w:val="20"/>
          <w:szCs w:val="20"/>
          <w:lang w:val="pl-PL"/>
        </w:rPr>
        <w:t xml:space="preserve">Podobnie patrzy na rynek kapitał. Raport </w:t>
      </w:r>
      <w:proofErr w:type="spellStart"/>
      <w:r w:rsidRPr="00D57AC6">
        <w:rPr>
          <w:sz w:val="20"/>
          <w:szCs w:val="20"/>
          <w:lang w:val="pl-PL"/>
        </w:rPr>
        <w:t>Cushman</w:t>
      </w:r>
      <w:proofErr w:type="spellEnd"/>
      <w:r w:rsidRPr="00D57AC6">
        <w:rPr>
          <w:sz w:val="20"/>
          <w:szCs w:val="20"/>
          <w:lang w:val="pl-PL"/>
        </w:rPr>
        <w:t xml:space="preserve"> &amp; Wakefield „</w:t>
      </w:r>
      <w:proofErr w:type="spellStart"/>
      <w:r w:rsidRPr="00D57AC6">
        <w:rPr>
          <w:sz w:val="20"/>
          <w:szCs w:val="20"/>
          <w:lang w:val="pl-PL"/>
        </w:rPr>
        <w:t>European</w:t>
      </w:r>
      <w:proofErr w:type="spellEnd"/>
      <w:r w:rsidRPr="00D57AC6">
        <w:rPr>
          <w:sz w:val="20"/>
          <w:szCs w:val="20"/>
          <w:lang w:val="pl-PL"/>
        </w:rPr>
        <w:t xml:space="preserve"> Investment Atlas | Q1 2026” wskazuje, że europejski rynek nieruchomości wszedł w fazę większej selektywności, a ostatnie wydarzenia geopolityczne ponownie zwiększyły zmienność stóp procentowych, oczekiwań inflacyjnych i aktywności transakcyjnej. </w:t>
      </w:r>
    </w:p>
    <w:p w14:paraId="72E4EAC2" w14:textId="77777777" w:rsidR="00FA1605" w:rsidRPr="00D57AC6" w:rsidRDefault="00FA1605" w:rsidP="00FA1605">
      <w:pPr>
        <w:spacing w:before="80"/>
        <w:ind w:right="113"/>
        <w:jc w:val="both"/>
        <w:rPr>
          <w:b/>
          <w:bCs/>
          <w:iCs/>
          <w:sz w:val="20"/>
          <w:szCs w:val="20"/>
          <w:lang w:val="pl-PL"/>
        </w:rPr>
      </w:pPr>
      <w:r w:rsidRPr="00D57AC6">
        <w:rPr>
          <w:iCs/>
          <w:sz w:val="20"/>
          <w:szCs w:val="20"/>
          <w:lang w:val="pl-PL"/>
        </w:rPr>
        <w:t xml:space="preserve">– </w:t>
      </w:r>
      <w:r w:rsidRPr="00D57AC6">
        <w:rPr>
          <w:i/>
          <w:sz w:val="20"/>
          <w:szCs w:val="20"/>
          <w:lang w:val="pl-PL"/>
        </w:rPr>
        <w:t xml:space="preserve">Kapitał inwestycyjny coraz mocniej uwzględnia geopolitykę i jakość infrastruktury w ocenie ryzyka. Nie wystarczy, że rynek oferuje dużą powierzchnię magazynową albo korzystne położenie na mapie. Liczy się to, czy dana lokalizacja ma trwałe fundamenty popytu, czyli dostęp do infrastruktury, ograniczoną konkurencyjną podaż, stabilnych najemców, możliwość wzrostu dochodu i dobrą jakość operacyjną aktywów. </w:t>
      </w:r>
      <w:proofErr w:type="spellStart"/>
      <w:r w:rsidRPr="00D57AC6">
        <w:rPr>
          <w:i/>
          <w:sz w:val="20"/>
          <w:szCs w:val="20"/>
          <w:lang w:val="pl-PL"/>
        </w:rPr>
        <w:t>Megaprojekty</w:t>
      </w:r>
      <w:proofErr w:type="spellEnd"/>
      <w:r w:rsidRPr="00D57AC6">
        <w:rPr>
          <w:i/>
          <w:sz w:val="20"/>
          <w:szCs w:val="20"/>
          <w:lang w:val="pl-PL"/>
        </w:rPr>
        <w:t xml:space="preserve"> infrastrukturalne mogą wzmocnić takie fundamenty w Polsce, a tym samym poprawić jej pozycję w europejskich łańcuchach dostaw i na mapie kapitału instytucjonalnego</w:t>
      </w:r>
      <w:r w:rsidRPr="00D57AC6">
        <w:rPr>
          <w:iCs/>
          <w:sz w:val="20"/>
          <w:szCs w:val="20"/>
          <w:lang w:val="pl-PL"/>
        </w:rPr>
        <w:t xml:space="preserve"> – mówi </w:t>
      </w:r>
      <w:r w:rsidRPr="00D57AC6">
        <w:rPr>
          <w:b/>
          <w:bCs/>
          <w:iCs/>
          <w:sz w:val="20"/>
          <w:szCs w:val="20"/>
          <w:lang w:val="pl-PL"/>
        </w:rPr>
        <w:t xml:space="preserve">Paweł Partyka, </w:t>
      </w:r>
      <w:proofErr w:type="spellStart"/>
      <w:r w:rsidRPr="00D57AC6">
        <w:rPr>
          <w:b/>
          <w:bCs/>
          <w:iCs/>
          <w:sz w:val="20"/>
          <w:szCs w:val="20"/>
          <w:lang w:val="pl-PL"/>
        </w:rPr>
        <w:t>Head</w:t>
      </w:r>
      <w:proofErr w:type="spellEnd"/>
      <w:r w:rsidRPr="00D57AC6">
        <w:rPr>
          <w:b/>
          <w:bCs/>
          <w:iCs/>
          <w:sz w:val="20"/>
          <w:szCs w:val="20"/>
          <w:lang w:val="pl-PL"/>
        </w:rPr>
        <w:t xml:space="preserve"> of Capital </w:t>
      </w:r>
      <w:proofErr w:type="spellStart"/>
      <w:r w:rsidRPr="00D57AC6">
        <w:rPr>
          <w:b/>
          <w:bCs/>
          <w:iCs/>
          <w:sz w:val="20"/>
          <w:szCs w:val="20"/>
          <w:lang w:val="pl-PL"/>
        </w:rPr>
        <w:t>Markets</w:t>
      </w:r>
      <w:proofErr w:type="spellEnd"/>
      <w:r w:rsidRPr="00D57AC6">
        <w:rPr>
          <w:b/>
          <w:bCs/>
          <w:iCs/>
          <w:sz w:val="20"/>
          <w:szCs w:val="20"/>
          <w:lang w:val="pl-PL"/>
        </w:rPr>
        <w:t xml:space="preserve"> Poland w </w:t>
      </w:r>
      <w:proofErr w:type="spellStart"/>
      <w:r w:rsidRPr="00D57AC6">
        <w:rPr>
          <w:b/>
          <w:bCs/>
          <w:iCs/>
          <w:sz w:val="20"/>
          <w:szCs w:val="20"/>
          <w:lang w:val="pl-PL"/>
        </w:rPr>
        <w:t>Cushman</w:t>
      </w:r>
      <w:proofErr w:type="spellEnd"/>
      <w:r w:rsidRPr="00D57AC6">
        <w:rPr>
          <w:b/>
          <w:bCs/>
          <w:iCs/>
          <w:sz w:val="20"/>
          <w:szCs w:val="20"/>
          <w:lang w:val="pl-PL"/>
        </w:rPr>
        <w:t xml:space="preserve"> &amp; Wakefield.</w:t>
      </w:r>
    </w:p>
    <w:p w14:paraId="3AA3972D" w14:textId="24AF5820" w:rsidR="00F377AF" w:rsidRPr="00D57AC6" w:rsidRDefault="00FA1605" w:rsidP="00FA1605">
      <w:pPr>
        <w:jc w:val="both"/>
        <w:rPr>
          <w:sz w:val="20"/>
          <w:szCs w:val="20"/>
          <w:lang w:val="pl-PL"/>
        </w:rPr>
      </w:pPr>
      <w:r w:rsidRPr="00D57AC6">
        <w:rPr>
          <w:sz w:val="20"/>
          <w:szCs w:val="20"/>
          <w:lang w:val="pl-PL"/>
        </w:rPr>
        <w:t>Największą szansą dla Polski jest wejście na wyższy poziom w europejskim układzie logistycznym. W warunkach, w których cła, konflikty handlowe, bezpieczeństwo dostaw i dostęp do energii coraz silniej wpływają na decyzje firm, infrastruktura staje się narzędziem konkurencji gospodarczej. Powiązanie inwestycji infrastrukturalnych z rynkiem gruntów, energetyką, logistyką miejską, zapleczem przemysłowym i funkcjami komercyjnymi, może sprawić, że Polska stanie się jednym z rynków, które realnie przejmą część zmieniających się przepływów handlowych.</w:t>
      </w:r>
    </w:p>
    <w:p w14:paraId="30EB7416" w14:textId="77777777" w:rsidR="00F377AF" w:rsidRDefault="00000000">
      <w:pPr>
        <w:jc w:val="center"/>
        <w:rPr>
          <w:sz w:val="16"/>
          <w:szCs w:val="16"/>
        </w:rPr>
      </w:pPr>
      <w:r>
        <w:rPr>
          <w:sz w:val="16"/>
          <w:szCs w:val="16"/>
        </w:rPr>
        <w:lastRenderedPageBreak/>
        <w:t xml:space="preserve">- </w:t>
      </w:r>
      <w:r>
        <w:rPr>
          <w:b/>
          <w:bCs/>
          <w:sz w:val="16"/>
          <w:szCs w:val="16"/>
        </w:rPr>
        <w:t>KONIEC -</w:t>
      </w:r>
    </w:p>
    <w:p w14:paraId="53D1488E" w14:textId="77777777" w:rsidR="00F377AF" w:rsidRDefault="00F377AF">
      <w:pPr>
        <w:spacing w:line="240" w:lineRule="auto"/>
        <w:jc w:val="both"/>
        <w:rPr>
          <w:b/>
          <w:bCs/>
          <w:sz w:val="20"/>
          <w:szCs w:val="20"/>
        </w:rPr>
      </w:pPr>
    </w:p>
    <w:p w14:paraId="1ED96440" w14:textId="77777777" w:rsidR="00F377AF" w:rsidRDefault="00000000">
      <w:pPr>
        <w:spacing w:line="240" w:lineRule="auto"/>
        <w:jc w:val="both"/>
        <w:rPr>
          <w:b/>
          <w:bCs/>
          <w:sz w:val="20"/>
          <w:szCs w:val="20"/>
        </w:rPr>
      </w:pPr>
      <w:r>
        <w:rPr>
          <w:b/>
          <w:bCs/>
          <w:sz w:val="16"/>
          <w:szCs w:val="16"/>
        </w:rPr>
        <w:t xml:space="preserve">O </w:t>
      </w:r>
      <w:proofErr w:type="spellStart"/>
      <w:r>
        <w:rPr>
          <w:b/>
          <w:bCs/>
          <w:sz w:val="16"/>
          <w:szCs w:val="16"/>
        </w:rPr>
        <w:t>Cushman</w:t>
      </w:r>
      <w:proofErr w:type="spellEnd"/>
      <w:r>
        <w:rPr>
          <w:b/>
          <w:bCs/>
          <w:sz w:val="16"/>
          <w:szCs w:val="16"/>
        </w:rPr>
        <w:t xml:space="preserve"> &amp; Wakefield</w:t>
      </w:r>
    </w:p>
    <w:p w14:paraId="196FC151" w14:textId="19C31DC4" w:rsidR="00F377AF" w:rsidRDefault="00693A11" w:rsidP="00693A11">
      <w:pPr>
        <w:jc w:val="both"/>
        <w:rPr>
          <w:sz w:val="16"/>
          <w:szCs w:val="16"/>
        </w:rPr>
      </w:pPr>
      <w:proofErr w:type="spellStart"/>
      <w:r w:rsidRPr="00693A11">
        <w:rPr>
          <w:sz w:val="16"/>
          <w:szCs w:val="16"/>
        </w:rPr>
        <w:t>Cushman</w:t>
      </w:r>
      <w:proofErr w:type="spellEnd"/>
      <w:r w:rsidRPr="00693A11">
        <w:rPr>
          <w:sz w:val="16"/>
          <w:szCs w:val="16"/>
        </w:rPr>
        <w:t xml:space="preserve"> &amp; Wakefield (NYSE: CWK) jest wiodącą na świecie firmą świadczącą usługi na rynku nieruchomości komercyjnych na rzecz najemców i inwestorów. Zatrudnia ok. 53 tys. pracowników w ponad 350 biurach i niemal 60 krajach na całym świecie. W 2025 roku jej przychody wyniosły 10,3 mld USD. Do najważniejszych usług świadczonych przez firmę należą m.in. zarządzanie nieruchomościami, obiektami i projektami, pośrednictwo w wynajmie powierzchni, obsługa transakcji na rynkach kapitałowych oraz wyceny. Za nieustanne dążenie do doskonałości zgodnie z zasadą </w:t>
      </w:r>
      <w:proofErr w:type="spellStart"/>
      <w:r w:rsidRPr="00693A11">
        <w:rPr>
          <w:sz w:val="16"/>
          <w:szCs w:val="16"/>
        </w:rPr>
        <w:t>Better</w:t>
      </w:r>
      <w:proofErr w:type="spellEnd"/>
      <w:r w:rsidRPr="00693A11">
        <w:rPr>
          <w:sz w:val="16"/>
          <w:szCs w:val="16"/>
        </w:rPr>
        <w:t xml:space="preserve"> </w:t>
      </w:r>
      <w:proofErr w:type="spellStart"/>
      <w:r w:rsidRPr="00693A11">
        <w:rPr>
          <w:sz w:val="16"/>
          <w:szCs w:val="16"/>
        </w:rPr>
        <w:t>never</w:t>
      </w:r>
      <w:proofErr w:type="spellEnd"/>
      <w:r w:rsidRPr="00693A11">
        <w:rPr>
          <w:sz w:val="16"/>
          <w:szCs w:val="16"/>
        </w:rPr>
        <w:t xml:space="preserve"> </w:t>
      </w:r>
      <w:proofErr w:type="spellStart"/>
      <w:r w:rsidRPr="00693A11">
        <w:rPr>
          <w:sz w:val="16"/>
          <w:szCs w:val="16"/>
        </w:rPr>
        <w:t>settles</w:t>
      </w:r>
      <w:proofErr w:type="spellEnd"/>
      <w:r w:rsidRPr="00693A11">
        <w:rPr>
          <w:sz w:val="16"/>
          <w:szCs w:val="16"/>
        </w:rPr>
        <w:t xml:space="preserve"> </w:t>
      </w:r>
      <w:proofErr w:type="spellStart"/>
      <w:r w:rsidRPr="00693A11">
        <w:rPr>
          <w:sz w:val="16"/>
          <w:szCs w:val="16"/>
        </w:rPr>
        <w:t>Cushman</w:t>
      </w:r>
      <w:proofErr w:type="spellEnd"/>
      <w:r w:rsidRPr="00693A11">
        <w:rPr>
          <w:sz w:val="16"/>
          <w:szCs w:val="16"/>
        </w:rPr>
        <w:t xml:space="preserve"> &amp; Wakefield otrzymuje wiele wyróżnień oraz nagród w konkursach branżowych i biznesowych. Dodatkowe informacje na stronie </w:t>
      </w:r>
      <w:hyperlink r:id="rId7" w:tgtFrame="_blank" w:history="1">
        <w:r w:rsidRPr="00693A11">
          <w:rPr>
            <w:rStyle w:val="Hyperlink"/>
            <w:sz w:val="16"/>
            <w:szCs w:val="16"/>
          </w:rPr>
          <w:t>www.cushmanwakefield.com.</w:t>
        </w:r>
      </w:hyperlink>
    </w:p>
    <w:sectPr w:rsidR="00F377AF">
      <w:headerReference w:type="default" r:id="rId8"/>
      <w:footerReference w:type="default" r:id="rId9"/>
      <w:headerReference w:type="first" r:id="rId10"/>
      <w:footerReference w:type="first" r:id="rId11"/>
      <w:pgSz w:w="11907" w:h="16839"/>
      <w:pgMar w:top="3600" w:right="1008" w:bottom="2880" w:left="1224" w:header="180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BF427" w14:textId="77777777" w:rsidR="001F19B4" w:rsidRDefault="001F19B4">
      <w:pPr>
        <w:spacing w:after="0" w:line="240" w:lineRule="auto"/>
      </w:pPr>
      <w:r>
        <w:separator/>
      </w:r>
    </w:p>
  </w:endnote>
  <w:endnote w:type="continuationSeparator" w:id="0">
    <w:p w14:paraId="19697E9A" w14:textId="77777777" w:rsidR="001F19B4" w:rsidRDefault="001F1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1F1CE109-BDDB-C04F-BF59-C7002EE8593E}"/>
    <w:embedBold r:id="rId2" w:fontKey="{B439773F-90A8-844D-B6DF-904F5F5549B6}"/>
    <w:embedItalic r:id="rId3" w:fontKey="{7A9B2BEA-1CB1-F747-B553-522241DF6D20}"/>
    <w:embedBoldItalic r:id="rId4" w:fontKey="{610BCEF4-9B03-4044-9B24-D355BC7DF4BC}"/>
  </w:font>
  <w:font w:name="Calibri">
    <w:panose1 w:val="020F0502020204030204"/>
    <w:charset w:val="00"/>
    <w:family w:val="swiss"/>
    <w:pitch w:val="variable"/>
    <w:sig w:usb0="E4002EFF" w:usb1="C200247B" w:usb2="00000009" w:usb3="00000000" w:csb0="000001FF" w:csb1="00000000"/>
    <w:embedRegular r:id="rId5" w:fontKey="{892945C4-152A-2A4E-8C75-C49222BCB8E4}"/>
    <w:embedBold r:id="rId6" w:fontKey="{2808AF64-A6B4-4341-91E1-5670F26E6979}"/>
  </w:font>
  <w:font w:name="Times New Roman">
    <w:panose1 w:val="02020603050405020304"/>
    <w:charset w:val="EE"/>
    <w:family w:val="roman"/>
    <w:pitch w:val="variable"/>
    <w:sig w:usb0="E0002EFF" w:usb1="C000785B" w:usb2="00000009" w:usb3="00000000" w:csb0="000001FF" w:csb1="00000000"/>
    <w:embedRegular r:id="rId7" w:fontKey="{E498DFEC-8993-414A-88B8-C6309A599BD0}"/>
  </w:font>
  <w:font w:name="Georgia">
    <w:panose1 w:val="02040502050405020303"/>
    <w:charset w:val="00"/>
    <w:family w:val="roman"/>
    <w:pitch w:val="variable"/>
    <w:sig w:usb0="00000287" w:usb1="00000000" w:usb2="00000000" w:usb3="00000000" w:csb0="0000009F" w:csb1="00000000"/>
    <w:embedItalic r:id="rId8" w:fontKey="{B9A62AF2-95A2-874F-BCFD-B0357D73376B}"/>
  </w:font>
  <w:font w:name="Cambria">
    <w:panose1 w:val="02040503050406030204"/>
    <w:charset w:val="00"/>
    <w:family w:val="roman"/>
    <w:pitch w:val="variable"/>
    <w:sig w:usb0="E00002FF" w:usb1="400004FF" w:usb2="00000000" w:usb3="00000000" w:csb0="0000019F" w:csb1="00000000"/>
    <w:embedRegular r:id="rId9" w:fontKey="{E7A1C968-CB0E-C746-8087-5A9E594B929A}"/>
    <w:embedBold r:id="rId10" w:fontKey="{4E4D34C8-82E8-F743-8F3E-6BAD222506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47E05" w14:textId="77777777" w:rsidR="00F377AF" w:rsidRDefault="00F377AF">
    <w:pPr>
      <w:widowControl w:val="0"/>
      <w:pBdr>
        <w:top w:val="nil"/>
        <w:left w:val="nil"/>
        <w:bottom w:val="nil"/>
        <w:right w:val="nil"/>
        <w:between w:val="nil"/>
      </w:pBdr>
      <w:spacing w:after="0"/>
      <w:rPr>
        <w:color w:val="000000"/>
      </w:rPr>
    </w:pPr>
  </w:p>
  <w:tbl>
    <w:tblPr>
      <w:tblStyle w:val="a"/>
      <w:tblW w:w="9000" w:type="dxa"/>
      <w:tblInd w:w="0" w:type="dxa"/>
      <w:tblLayout w:type="fixed"/>
      <w:tblLook w:val="0400" w:firstRow="0" w:lastRow="0" w:firstColumn="0" w:lastColumn="0" w:noHBand="0" w:noVBand="1"/>
    </w:tblPr>
    <w:tblGrid>
      <w:gridCol w:w="9000"/>
    </w:tblGrid>
    <w:tr w:rsidR="00F377AF" w14:paraId="052282BE" w14:textId="77777777" w:rsidTr="006059C6">
      <w:trPr>
        <w:trHeight w:val="630"/>
      </w:trPr>
      <w:tc>
        <w:tcPr>
          <w:tcW w:w="9000" w:type="dxa"/>
          <w:vAlign w:val="bottom"/>
        </w:tcPr>
        <w:p w14:paraId="7FC35F0D" w14:textId="77777777" w:rsidR="00F377AF" w:rsidRDefault="00000000">
          <w:pPr>
            <w:pStyle w:val="Heading2"/>
            <w:rPr>
              <w:rFonts w:ascii="Arial" w:eastAsia="Arial" w:hAnsi="Arial" w:cs="Arial"/>
              <w:color w:val="000000"/>
            </w:rPr>
          </w:pPr>
          <w:r>
            <w:rPr>
              <w:rFonts w:ascii="Arial" w:eastAsia="Arial" w:hAnsi="Arial" w:cs="Arial"/>
              <w:color w:val="000000"/>
            </w:rPr>
            <w:t>Dodatkowe informacje:</w:t>
          </w:r>
        </w:p>
      </w:tc>
    </w:tr>
    <w:tr w:rsidR="00F377AF" w:rsidRPr="00096652" w14:paraId="2F583633" w14:textId="77777777" w:rsidTr="006059C6">
      <w:trPr>
        <w:trHeight w:val="1260"/>
      </w:trPr>
      <w:tc>
        <w:tcPr>
          <w:tcW w:w="9000" w:type="dxa"/>
          <w:tcBorders>
            <w:top w:val="single" w:sz="4" w:space="0" w:color="FFFFFF" w:themeColor="background1"/>
          </w:tcBorders>
        </w:tcPr>
        <w:p w14:paraId="17FE60CF" w14:textId="77777777" w:rsidR="00F377AF" w:rsidRDefault="00F377AF">
          <w:pPr>
            <w:widowControl w:val="0"/>
            <w:pBdr>
              <w:top w:val="nil"/>
              <w:left w:val="nil"/>
              <w:bottom w:val="nil"/>
              <w:right w:val="nil"/>
              <w:between w:val="nil"/>
            </w:pBdr>
            <w:spacing w:after="0"/>
            <w:rPr>
              <w:color w:val="000000"/>
            </w:rPr>
          </w:pPr>
        </w:p>
        <w:tbl>
          <w:tblPr>
            <w:tblStyle w:val="a0"/>
            <w:tblW w:w="8780" w:type="dxa"/>
            <w:tblInd w:w="0" w:type="dxa"/>
            <w:tblLayout w:type="fixed"/>
            <w:tblLook w:val="04A0" w:firstRow="1" w:lastRow="0" w:firstColumn="1" w:lastColumn="0" w:noHBand="0" w:noVBand="1"/>
          </w:tblPr>
          <w:tblGrid>
            <w:gridCol w:w="8780"/>
            <w:gridCol w:w="220"/>
          </w:tblGrid>
          <w:tr w:rsidR="00E52D5B" w:rsidRPr="00096652" w14:paraId="0B16F861" w14:textId="77777777" w:rsidTr="00E52D5B">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8560" w:type="dxa"/>
              </w:tcPr>
              <w:p w14:paraId="14D49801" w14:textId="77777777" w:rsidR="00E52D5B" w:rsidRDefault="00E52D5B">
                <w:pPr>
                  <w:widowControl w:val="0"/>
                  <w:pBdr>
                    <w:top w:val="nil"/>
                    <w:left w:val="nil"/>
                    <w:bottom w:val="nil"/>
                    <w:right w:val="nil"/>
                    <w:between w:val="nil"/>
                  </w:pBdr>
                  <w:spacing w:line="276" w:lineRule="auto"/>
                  <w:rPr>
                    <w:color w:val="000000"/>
                  </w:rPr>
                </w:pPr>
              </w:p>
              <w:tbl>
                <w:tblPr>
                  <w:tblStyle w:val="a1"/>
                  <w:tblW w:w="11827" w:type="dxa"/>
                  <w:tblInd w:w="0" w:type="dxa"/>
                  <w:tblLayout w:type="fixed"/>
                  <w:tblLook w:val="0400" w:firstRow="0" w:lastRow="0" w:firstColumn="0" w:lastColumn="0" w:noHBand="0" w:noVBand="1"/>
                </w:tblPr>
                <w:tblGrid>
                  <w:gridCol w:w="4004"/>
                  <w:gridCol w:w="710"/>
                  <w:gridCol w:w="7113"/>
                </w:tblGrid>
                <w:tr w:rsidR="00E52D5B" w:rsidRPr="00096652" w14:paraId="1471AD0C" w14:textId="77777777" w:rsidTr="006059C6">
                  <w:trPr>
                    <w:trHeight w:val="738"/>
                  </w:trPr>
                  <w:tc>
                    <w:tcPr>
                      <w:tcW w:w="1693" w:type="pct"/>
                    </w:tcPr>
                    <w:p w14:paraId="3AD817AF" w14:textId="77777777" w:rsidR="00E52D5B" w:rsidRPr="00E52D5B" w:rsidRDefault="00E52D5B" w:rsidP="00E52D5B">
                      <w:pPr>
                        <w:rPr>
                          <w:sz w:val="18"/>
                          <w:szCs w:val="18"/>
                          <w:lang w:val="en-US"/>
                        </w:rPr>
                      </w:pPr>
                      <w:r w:rsidRPr="00E52D5B">
                        <w:rPr>
                          <w:sz w:val="18"/>
                          <w:szCs w:val="18"/>
                          <w:lang w:val="en-US"/>
                        </w:rPr>
                        <w:t xml:space="preserve">Karolina </w:t>
                      </w:r>
                      <w:proofErr w:type="spellStart"/>
                      <w:r w:rsidRPr="00E52D5B">
                        <w:rPr>
                          <w:sz w:val="18"/>
                          <w:szCs w:val="18"/>
                          <w:lang w:val="en-US"/>
                        </w:rPr>
                        <w:t>Samczyńska-Fiślak</w:t>
                      </w:r>
                      <w:proofErr w:type="spellEnd"/>
                    </w:p>
                    <w:p w14:paraId="0F116CB1" w14:textId="77777777" w:rsidR="00E52D5B" w:rsidRPr="00E52D5B" w:rsidRDefault="00E52D5B" w:rsidP="00E52D5B">
                      <w:pPr>
                        <w:rPr>
                          <w:sz w:val="18"/>
                          <w:szCs w:val="18"/>
                          <w:lang w:val="en-US"/>
                        </w:rPr>
                      </w:pPr>
                      <w:r w:rsidRPr="00E52D5B">
                        <w:rPr>
                          <w:sz w:val="18"/>
                          <w:szCs w:val="18"/>
                          <w:lang w:val="en-US"/>
                        </w:rPr>
                        <w:t xml:space="preserve">Cushman &amp; Wakefield </w:t>
                      </w:r>
                    </w:p>
                    <w:p w14:paraId="2A838D28" w14:textId="77777777" w:rsidR="00E52D5B" w:rsidRPr="00E52D5B" w:rsidRDefault="00E52D5B" w:rsidP="00E52D5B">
                      <w:pPr>
                        <w:rPr>
                          <w:sz w:val="18"/>
                          <w:szCs w:val="18"/>
                          <w:lang w:val="en-US"/>
                        </w:rPr>
                      </w:pPr>
                      <w:r w:rsidRPr="00E52D5B">
                        <w:rPr>
                          <w:sz w:val="18"/>
                          <w:szCs w:val="18"/>
                          <w:lang w:val="en-US"/>
                        </w:rPr>
                        <w:t>Tel: + 48 22 820 20 20; 691 060 202</w:t>
                      </w:r>
                    </w:p>
                    <w:p w14:paraId="13CAFC9E" w14:textId="216F5905" w:rsidR="00E52D5B" w:rsidRPr="00E52D5B" w:rsidRDefault="00E52D5B" w:rsidP="00E52D5B">
                      <w:pPr>
                        <w:rPr>
                          <w:sz w:val="18"/>
                          <w:szCs w:val="18"/>
                          <w:lang w:val="en-US"/>
                        </w:rPr>
                      </w:pPr>
                      <w:r w:rsidRPr="00E52D5B">
                        <w:rPr>
                          <w:sz w:val="18"/>
                          <w:szCs w:val="18"/>
                          <w:lang w:val="en-US"/>
                        </w:rPr>
                        <w:t xml:space="preserve">e-mail: </w:t>
                      </w:r>
                      <w:r>
                        <w:fldChar w:fldCharType="begin"/>
                      </w:r>
                      <w:r w:rsidRPr="00096652">
                        <w:rPr>
                          <w:lang w:val="en-US"/>
                        </w:rPr>
                        <w:instrText>HYPERLINK "mailto:karolina.samczynska@cushwake.com"</w:instrText>
                      </w:r>
                      <w:r>
                        <w:fldChar w:fldCharType="separate"/>
                      </w:r>
                      <w:r w:rsidRPr="00622EF7">
                        <w:rPr>
                          <w:rStyle w:val="Hyperlink"/>
                          <w:sz w:val="18"/>
                          <w:szCs w:val="18"/>
                          <w:lang w:val="en-US"/>
                        </w:rPr>
                        <w:t>karolina.samczynska@cushwake.com</w:t>
                      </w:r>
                      <w:r>
                        <w:rPr>
                          <w:rStyle w:val="Hyperlink"/>
                          <w:sz w:val="18"/>
                          <w:szCs w:val="18"/>
                          <w:lang w:val="en-US"/>
                        </w:rPr>
                        <w:fldChar w:fldCharType="end"/>
                      </w:r>
                      <w:r w:rsidRPr="00E52D5B">
                        <w:rPr>
                          <w:color w:val="008B98"/>
                          <w:sz w:val="18"/>
                          <w:szCs w:val="18"/>
                          <w:lang w:val="en-US"/>
                        </w:rPr>
                        <w:t xml:space="preserve"> </w:t>
                      </w:r>
                    </w:p>
                  </w:tc>
                  <w:tc>
                    <w:tcPr>
                      <w:tcW w:w="300" w:type="pct"/>
                    </w:tcPr>
                    <w:p w14:paraId="27A13C1F" w14:textId="77777777" w:rsidR="00E52D5B" w:rsidRPr="00E52D5B" w:rsidRDefault="00E52D5B" w:rsidP="00E52D5B">
                      <w:pPr>
                        <w:rPr>
                          <w:sz w:val="18"/>
                          <w:szCs w:val="18"/>
                          <w:lang w:val="en-US"/>
                        </w:rPr>
                      </w:pPr>
                    </w:p>
                  </w:tc>
                  <w:tc>
                    <w:tcPr>
                      <w:tcW w:w="3007" w:type="pct"/>
                    </w:tcPr>
                    <w:p w14:paraId="55F5332E" w14:textId="0C986567" w:rsidR="00E52D5B" w:rsidRPr="00AE5277" w:rsidRDefault="00E52D5B" w:rsidP="00E52D5B">
                      <w:pPr>
                        <w:rPr>
                          <w:sz w:val="18"/>
                          <w:szCs w:val="18"/>
                          <w:lang w:val="pl-PL"/>
                        </w:rPr>
                      </w:pPr>
                      <w:r w:rsidRPr="00AE5277">
                        <w:rPr>
                          <w:sz w:val="18"/>
                          <w:szCs w:val="18"/>
                          <w:lang w:val="pl-PL"/>
                        </w:rPr>
                        <w:t xml:space="preserve">Magdalena Znyk-Ossowska </w:t>
                      </w:r>
                    </w:p>
                    <w:p w14:paraId="5899E735" w14:textId="1D5A8333" w:rsidR="00E52D5B" w:rsidRPr="00AE5277" w:rsidRDefault="00E52D5B" w:rsidP="00E52D5B">
                      <w:pPr>
                        <w:rPr>
                          <w:sz w:val="18"/>
                          <w:szCs w:val="18"/>
                          <w:lang w:val="pl-PL"/>
                        </w:rPr>
                      </w:pPr>
                      <w:r w:rsidRPr="00AE5277">
                        <w:rPr>
                          <w:sz w:val="18"/>
                          <w:szCs w:val="18"/>
                          <w:lang w:val="pl-PL"/>
                        </w:rPr>
                        <w:t>Linkleaders</w:t>
                      </w:r>
                    </w:p>
                    <w:p w14:paraId="2347C036" w14:textId="3BE395D1" w:rsidR="00E52D5B" w:rsidRPr="00AE5277" w:rsidRDefault="00E52D5B" w:rsidP="00E52D5B">
                      <w:pPr>
                        <w:rPr>
                          <w:sz w:val="18"/>
                          <w:szCs w:val="18"/>
                          <w:lang w:val="pl-PL"/>
                        </w:rPr>
                      </w:pPr>
                      <w:r w:rsidRPr="00AE5277">
                        <w:rPr>
                          <w:sz w:val="18"/>
                          <w:szCs w:val="18"/>
                          <w:lang w:val="pl-PL"/>
                        </w:rPr>
                        <w:t>Tel: + 48 502 556 846</w:t>
                      </w:r>
                    </w:p>
                    <w:p w14:paraId="6D49FF01" w14:textId="655D00BD" w:rsidR="00E52D5B" w:rsidRPr="00E52D5B" w:rsidRDefault="00E52D5B" w:rsidP="00E52D5B">
                      <w:pPr>
                        <w:rPr>
                          <w:sz w:val="18"/>
                          <w:szCs w:val="18"/>
                          <w:lang w:val="en-US"/>
                        </w:rPr>
                      </w:pPr>
                      <w:r w:rsidRPr="00E52D5B">
                        <w:rPr>
                          <w:sz w:val="18"/>
                          <w:szCs w:val="18"/>
                          <w:lang w:val="en-US"/>
                        </w:rPr>
                        <w:t xml:space="preserve">e-mail: </w:t>
                      </w:r>
                      <w:r>
                        <w:fldChar w:fldCharType="begin"/>
                      </w:r>
                      <w:r w:rsidRPr="00096652">
                        <w:rPr>
                          <w:lang w:val="en-US"/>
                        </w:rPr>
                        <w:instrText>HYPERLINK "mailto:magdalena.ossowska@linkleaders.pl"</w:instrText>
                      </w:r>
                      <w:r>
                        <w:fldChar w:fldCharType="separate"/>
                      </w:r>
                      <w:r w:rsidRPr="00E52D5B">
                        <w:rPr>
                          <w:rStyle w:val="Hyperlink"/>
                          <w:rFonts w:eastAsia="Calibri"/>
                          <w:b/>
                          <w:bCs/>
                          <w:sz w:val="18"/>
                          <w:szCs w:val="18"/>
                          <w:lang w:val="en-US"/>
                        </w:rPr>
                        <w:t>magdalena.ossowska@linkleaders.pl</w:t>
                      </w:r>
                      <w:r>
                        <w:rPr>
                          <w:rStyle w:val="Hyperlink"/>
                          <w:rFonts w:eastAsia="Calibri"/>
                          <w:b/>
                          <w:bCs/>
                          <w:sz w:val="18"/>
                          <w:szCs w:val="18"/>
                          <w:lang w:val="en-US"/>
                        </w:rPr>
                        <w:fldChar w:fldCharType="end"/>
                      </w:r>
                    </w:p>
                  </w:tc>
                </w:tr>
              </w:tbl>
              <w:p w14:paraId="680868DE" w14:textId="77777777" w:rsidR="00E52D5B" w:rsidRPr="006059C6" w:rsidRDefault="00E52D5B">
                <w:pPr>
                  <w:pBdr>
                    <w:top w:val="nil"/>
                    <w:left w:val="nil"/>
                    <w:bottom w:val="nil"/>
                    <w:right w:val="nil"/>
                    <w:between w:val="nil"/>
                  </w:pBdr>
                  <w:spacing w:line="276" w:lineRule="auto"/>
                  <w:rPr>
                    <w:rFonts w:ascii="Calibri" w:eastAsia="Calibri" w:hAnsi="Calibri" w:cs="Calibri"/>
                    <w:color w:val="000000"/>
                    <w:sz w:val="18"/>
                    <w:szCs w:val="18"/>
                    <w:lang w:val="en-US"/>
                  </w:rPr>
                </w:pPr>
              </w:p>
            </w:tc>
            <w:tc>
              <w:tcPr>
                <w:tcW w:w="220" w:type="dxa"/>
              </w:tcPr>
              <w:p w14:paraId="527ECF80" w14:textId="77777777" w:rsidR="00E52D5B" w:rsidRPr="006059C6" w:rsidRDefault="00E52D5B">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lang w:val="en-US"/>
                  </w:rPr>
                </w:pPr>
              </w:p>
              <w:p w14:paraId="65EB332B" w14:textId="77777777" w:rsidR="00E52D5B" w:rsidRPr="006059C6" w:rsidRDefault="00E52D5B">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lang w:val="en-US"/>
                  </w:rPr>
                </w:pPr>
              </w:p>
            </w:tc>
          </w:tr>
        </w:tbl>
        <w:p w14:paraId="0B43491B" w14:textId="77777777" w:rsidR="00F377AF" w:rsidRPr="006059C6" w:rsidRDefault="00F377AF">
          <w:pPr>
            <w:pBdr>
              <w:top w:val="nil"/>
              <w:left w:val="nil"/>
              <w:bottom w:val="nil"/>
              <w:right w:val="nil"/>
              <w:between w:val="nil"/>
            </w:pBdr>
            <w:spacing w:after="0"/>
            <w:rPr>
              <w:rFonts w:ascii="Calibri" w:eastAsia="Calibri" w:hAnsi="Calibri" w:cs="Calibri"/>
              <w:color w:val="000000"/>
              <w:sz w:val="18"/>
              <w:szCs w:val="18"/>
              <w:lang w:val="en-US"/>
            </w:rPr>
          </w:pPr>
        </w:p>
      </w:tc>
    </w:tr>
  </w:tbl>
  <w:p w14:paraId="66240E81" w14:textId="77777777" w:rsidR="00F377AF" w:rsidRPr="006059C6" w:rsidRDefault="00F377AF">
    <w:pPr>
      <w:pBdr>
        <w:top w:val="nil"/>
        <w:left w:val="nil"/>
        <w:bottom w:val="nil"/>
        <w:right w:val="nil"/>
        <w:between w:val="nil"/>
      </w:pBdr>
      <w:tabs>
        <w:tab w:val="center" w:pos="4536"/>
        <w:tab w:val="right" w:pos="9072"/>
      </w:tabs>
      <w:spacing w:after="0" w:line="240" w:lineRule="auto"/>
      <w:rPr>
        <w:color w:val="00000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DA62D" w14:textId="77777777" w:rsidR="00F377AF" w:rsidRDefault="00F377AF">
    <w:pPr>
      <w:widowControl w:val="0"/>
      <w:pBdr>
        <w:top w:val="nil"/>
        <w:left w:val="nil"/>
        <w:bottom w:val="nil"/>
        <w:right w:val="nil"/>
        <w:between w:val="nil"/>
      </w:pBdr>
      <w:spacing w:after="0"/>
      <w:rPr>
        <w:color w:val="000000"/>
      </w:rPr>
    </w:pPr>
  </w:p>
  <w:tbl>
    <w:tblPr>
      <w:tblStyle w:val="a2"/>
      <w:tblW w:w="9000" w:type="dxa"/>
      <w:tblInd w:w="0" w:type="dxa"/>
      <w:tblLayout w:type="fixed"/>
      <w:tblLook w:val="0400" w:firstRow="0" w:lastRow="0" w:firstColumn="0" w:lastColumn="0" w:noHBand="0" w:noVBand="1"/>
    </w:tblPr>
    <w:tblGrid>
      <w:gridCol w:w="5670"/>
      <w:gridCol w:w="3330"/>
    </w:tblGrid>
    <w:tr w:rsidR="00F377AF" w14:paraId="1322F75A" w14:textId="77777777">
      <w:trPr>
        <w:trHeight w:val="630"/>
      </w:trPr>
      <w:tc>
        <w:tcPr>
          <w:tcW w:w="5670" w:type="dxa"/>
          <w:vAlign w:val="bottom"/>
        </w:tcPr>
        <w:p w14:paraId="459CF4B9" w14:textId="77777777" w:rsidR="00F377AF" w:rsidRDefault="00000000">
          <w:pPr>
            <w:pStyle w:val="Heading2"/>
            <w:rPr>
              <w:rFonts w:ascii="Arial" w:eastAsia="Arial" w:hAnsi="Arial" w:cs="Arial"/>
              <w:color w:val="696B6B"/>
            </w:rPr>
          </w:pPr>
          <w:r>
            <w:rPr>
              <w:rFonts w:ascii="Arial" w:eastAsia="Arial" w:hAnsi="Arial" w:cs="Arial"/>
              <w:color w:val="696B6B"/>
            </w:rPr>
            <w:t xml:space="preserve">Media </w:t>
          </w:r>
          <w:proofErr w:type="spellStart"/>
          <w:r>
            <w:rPr>
              <w:rFonts w:ascii="Arial" w:eastAsia="Arial" w:hAnsi="Arial" w:cs="Arial"/>
              <w:color w:val="696B6B"/>
            </w:rPr>
            <w:t>Contact</w:t>
          </w:r>
          <w:proofErr w:type="spellEnd"/>
          <w:r>
            <w:rPr>
              <w:rFonts w:ascii="Arial" w:eastAsia="Arial" w:hAnsi="Arial" w:cs="Arial"/>
              <w:color w:val="696B6B"/>
            </w:rPr>
            <w:t>:</w:t>
          </w:r>
        </w:p>
      </w:tc>
      <w:tc>
        <w:tcPr>
          <w:tcW w:w="3330" w:type="dxa"/>
          <w:vAlign w:val="bottom"/>
        </w:tcPr>
        <w:p w14:paraId="31653805" w14:textId="77777777" w:rsidR="00F377AF" w:rsidRDefault="00F377AF">
          <w:pPr>
            <w:spacing w:after="100" w:line="240" w:lineRule="auto"/>
            <w:rPr>
              <w:b/>
              <w:bCs/>
              <w:color w:val="696B6B"/>
              <w:sz w:val="18"/>
              <w:szCs w:val="18"/>
            </w:rPr>
          </w:pPr>
        </w:p>
      </w:tc>
    </w:tr>
    <w:tr w:rsidR="00F377AF" w:rsidRPr="00096652" w14:paraId="65062D63" w14:textId="77777777">
      <w:trPr>
        <w:trHeight w:val="1260"/>
      </w:trPr>
      <w:tc>
        <w:tcPr>
          <w:tcW w:w="5670" w:type="dxa"/>
          <w:vAlign w:val="bottom"/>
        </w:tcPr>
        <w:p w14:paraId="3F7801E0" w14:textId="77777777" w:rsidR="00F377AF" w:rsidRPr="006059C6" w:rsidRDefault="00000000">
          <w:pPr>
            <w:keepNext/>
            <w:keepLines/>
            <w:pBdr>
              <w:top w:val="nil"/>
              <w:left w:val="nil"/>
              <w:bottom w:val="nil"/>
              <w:right w:val="nil"/>
              <w:between w:val="nil"/>
            </w:pBdr>
            <w:spacing w:after="0"/>
            <w:rPr>
              <w:b/>
              <w:bCs/>
              <w:color w:val="696B6B"/>
              <w:sz w:val="18"/>
              <w:szCs w:val="18"/>
              <w:lang w:val="en-US"/>
            </w:rPr>
          </w:pPr>
          <w:r w:rsidRPr="006059C6">
            <w:rPr>
              <w:b/>
              <w:bCs/>
              <w:color w:val="696B6B"/>
              <w:sz w:val="18"/>
              <w:szCs w:val="18"/>
              <w:lang w:val="en-US"/>
            </w:rPr>
            <w:t>Name</w:t>
          </w:r>
        </w:p>
        <w:p w14:paraId="79ECC178" w14:textId="77777777" w:rsidR="00F377AF" w:rsidRPr="006059C6" w:rsidRDefault="00000000">
          <w:pPr>
            <w:pBdr>
              <w:top w:val="nil"/>
              <w:left w:val="nil"/>
              <w:bottom w:val="nil"/>
              <w:right w:val="nil"/>
              <w:between w:val="nil"/>
            </w:pBdr>
            <w:spacing w:after="0"/>
            <w:rPr>
              <w:color w:val="696B6B"/>
              <w:sz w:val="18"/>
              <w:szCs w:val="18"/>
              <w:lang w:val="en-US"/>
            </w:rPr>
          </w:pPr>
          <w:r w:rsidRPr="006059C6">
            <w:rPr>
              <w:color w:val="696B6B"/>
              <w:sz w:val="18"/>
              <w:szCs w:val="18"/>
              <w:lang w:val="en-US"/>
            </w:rPr>
            <w:t>Title</w:t>
          </w:r>
        </w:p>
        <w:p w14:paraId="0AC7034C" w14:textId="77777777" w:rsidR="00F377AF" w:rsidRPr="006059C6" w:rsidRDefault="00000000">
          <w:pPr>
            <w:pBdr>
              <w:top w:val="nil"/>
              <w:left w:val="nil"/>
              <w:bottom w:val="nil"/>
              <w:right w:val="nil"/>
              <w:between w:val="nil"/>
            </w:pBdr>
            <w:spacing w:after="0"/>
            <w:rPr>
              <w:color w:val="696B6B"/>
              <w:sz w:val="18"/>
              <w:szCs w:val="18"/>
              <w:lang w:val="en-US"/>
            </w:rPr>
          </w:pPr>
          <w:r w:rsidRPr="006059C6">
            <w:rPr>
              <w:color w:val="696B6B"/>
              <w:sz w:val="18"/>
              <w:szCs w:val="18"/>
              <w:lang w:val="en-US"/>
            </w:rPr>
            <w:t>+1 000 000 0000</w:t>
          </w:r>
        </w:p>
        <w:p w14:paraId="0FD620E7" w14:textId="77777777" w:rsidR="00F377AF" w:rsidRPr="006059C6" w:rsidRDefault="00F377AF">
          <w:pPr>
            <w:pBdr>
              <w:top w:val="nil"/>
              <w:left w:val="nil"/>
              <w:bottom w:val="nil"/>
              <w:right w:val="nil"/>
              <w:between w:val="nil"/>
            </w:pBdr>
            <w:spacing w:after="0"/>
            <w:rPr>
              <w:color w:val="696B6B"/>
              <w:sz w:val="18"/>
              <w:szCs w:val="18"/>
              <w:lang w:val="en-US"/>
            </w:rPr>
          </w:pPr>
          <w:r>
            <w:fldChar w:fldCharType="begin"/>
          </w:r>
          <w:r w:rsidRPr="00096652">
            <w:rPr>
              <w:lang w:val="en-US"/>
            </w:rPr>
            <w:instrText>HYPERLINK "mailto:first.last@cushwake.com" \h</w:instrText>
          </w:r>
          <w:r>
            <w:fldChar w:fldCharType="separate"/>
          </w:r>
          <w:r w:rsidRPr="006059C6">
            <w:rPr>
              <w:color w:val="4472C4"/>
              <w:sz w:val="18"/>
              <w:szCs w:val="18"/>
              <w:u w:val="single"/>
              <w:lang w:val="en-US"/>
            </w:rPr>
            <w:t>first.last@cushwake.com</w:t>
          </w:r>
          <w:r>
            <w:rPr>
              <w:color w:val="4472C4"/>
              <w:sz w:val="18"/>
              <w:szCs w:val="18"/>
              <w:u w:val="single"/>
              <w:lang w:val="en-US"/>
            </w:rPr>
            <w:fldChar w:fldCharType="end"/>
          </w:r>
          <w:r w:rsidRPr="006059C6">
            <w:rPr>
              <w:color w:val="696B6B"/>
              <w:sz w:val="18"/>
              <w:szCs w:val="18"/>
              <w:lang w:val="en-US"/>
            </w:rPr>
            <w:t xml:space="preserve"> </w:t>
          </w:r>
        </w:p>
      </w:tc>
      <w:tc>
        <w:tcPr>
          <w:tcW w:w="3330" w:type="dxa"/>
          <w:vAlign w:val="bottom"/>
        </w:tcPr>
        <w:p w14:paraId="24B8EA6D" w14:textId="77777777" w:rsidR="00F377AF" w:rsidRPr="006059C6" w:rsidRDefault="00F377AF">
          <w:pPr>
            <w:pBdr>
              <w:top w:val="nil"/>
              <w:left w:val="nil"/>
              <w:bottom w:val="nil"/>
              <w:right w:val="nil"/>
              <w:between w:val="nil"/>
            </w:pBdr>
            <w:spacing w:after="0"/>
            <w:rPr>
              <w:color w:val="696B6B"/>
              <w:sz w:val="18"/>
              <w:szCs w:val="18"/>
              <w:lang w:val="en-US"/>
            </w:rPr>
          </w:pPr>
        </w:p>
      </w:tc>
    </w:tr>
  </w:tbl>
  <w:p w14:paraId="39082E58" w14:textId="77777777" w:rsidR="00F377AF" w:rsidRPr="006059C6" w:rsidRDefault="00F377AF">
    <w:pPr>
      <w:pBdr>
        <w:top w:val="nil"/>
        <w:left w:val="nil"/>
        <w:bottom w:val="nil"/>
        <w:right w:val="nil"/>
        <w:between w:val="nil"/>
      </w:pBdr>
      <w:tabs>
        <w:tab w:val="center" w:pos="4680"/>
        <w:tab w:val="right" w:pos="9360"/>
      </w:tabs>
      <w:spacing w:after="0" w:line="240" w:lineRule="auto"/>
      <w:rPr>
        <w:color w:val="00000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175D8" w14:textId="77777777" w:rsidR="001F19B4" w:rsidRDefault="001F19B4">
      <w:pPr>
        <w:spacing w:after="0" w:line="240" w:lineRule="auto"/>
      </w:pPr>
      <w:r>
        <w:separator/>
      </w:r>
    </w:p>
  </w:footnote>
  <w:footnote w:type="continuationSeparator" w:id="0">
    <w:p w14:paraId="7C15864B" w14:textId="77777777" w:rsidR="001F19B4" w:rsidRDefault="001F1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35162" w14:textId="77777777" w:rsidR="00F377AF"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18594D36" wp14:editId="34F3DCD2">
          <wp:simplePos x="0" y="0"/>
          <wp:positionH relativeFrom="column">
            <wp:posOffset>43134</wp:posOffset>
          </wp:positionH>
          <wp:positionV relativeFrom="paragraph">
            <wp:posOffset>-154973</wp:posOffset>
          </wp:positionV>
          <wp:extent cx="1933575" cy="40767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076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FB2E9" w14:textId="77777777" w:rsidR="00F377AF"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0A6B33B7" wp14:editId="4DABBBA3">
          <wp:simplePos x="0" y="0"/>
          <wp:positionH relativeFrom="column">
            <wp:posOffset>3813</wp:posOffset>
          </wp:positionH>
          <wp:positionV relativeFrom="paragraph">
            <wp:posOffset>-201292</wp:posOffset>
          </wp:positionV>
          <wp:extent cx="1933575" cy="40767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0767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7AF"/>
    <w:rsid w:val="00096652"/>
    <w:rsid w:val="00187625"/>
    <w:rsid w:val="001F19B4"/>
    <w:rsid w:val="00204F14"/>
    <w:rsid w:val="0031315B"/>
    <w:rsid w:val="006059C6"/>
    <w:rsid w:val="00693A11"/>
    <w:rsid w:val="00840B8F"/>
    <w:rsid w:val="00862C3A"/>
    <w:rsid w:val="008862B5"/>
    <w:rsid w:val="00AE5277"/>
    <w:rsid w:val="00C56CD3"/>
    <w:rsid w:val="00D57AC6"/>
    <w:rsid w:val="00E52D5B"/>
    <w:rsid w:val="00F377AF"/>
    <w:rsid w:val="00FA0CEC"/>
    <w:rsid w:val="00FA1605"/>
  </w:rsids>
  <m:mathPr>
    <m:mathFont m:val="Cambria Math"/>
    <m:brkBin m:val="before"/>
    <m:brkBinSub m:val="--"/>
    <m:smallFrac m:val="0"/>
    <m:dispDef/>
    <m:lMargin m:val="0"/>
    <m:rMargin m:val="0"/>
    <m:defJc m:val="centerGroup"/>
    <m:wrapIndent m:val="1440"/>
    <m:intLim m:val="subSup"/>
    <m:naryLim m:val="undOvr"/>
  </m:mathPr>
  <w:themeFontLang w:val="en-PL"/>
  <w:clrSchemeMapping w:bg1="light1" w:t1="dark1" w:bg2="light2" w:t2="dark2" w:accent1="accent1" w:accent2="accent2" w:accent3="accent3" w:accent4="accent4" w:accent5="accent5" w:accent6="accent6" w:hyperlink="hyperlink" w:followedHyperlink="followedHyperlink"/>
  <w:decimalSymbol w:val=","/>
  <w:listSeparator w:val=","/>
  <w14:docId w14:val="4992AE0F"/>
  <w15:docId w15:val="{C48957F1-DA03-3541-A331-DDC923991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after="100"/>
      <w:outlineLvl w:val="1"/>
    </w:pPr>
    <w:rPr>
      <w:rFonts w:ascii="Calibri" w:eastAsia="Calibri" w:hAnsi="Calibri" w:cs="Calibri"/>
      <w:b/>
      <w:bCs/>
      <w:smallCaps/>
      <w:color w:val="008B98"/>
      <w:sz w:val="18"/>
      <w:szCs w:val="1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605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9C6"/>
  </w:style>
  <w:style w:type="paragraph" w:styleId="Footer">
    <w:name w:val="footer"/>
    <w:basedOn w:val="Normal"/>
    <w:link w:val="FooterChar"/>
    <w:uiPriority w:val="99"/>
    <w:unhideWhenUsed/>
    <w:rsid w:val="00605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9C6"/>
  </w:style>
  <w:style w:type="character" w:styleId="Hyperlink">
    <w:name w:val="Hyperlink"/>
    <w:basedOn w:val="DefaultParagraphFont"/>
    <w:uiPriority w:val="99"/>
    <w:unhideWhenUsed/>
    <w:rsid w:val="006059C6"/>
    <w:rPr>
      <w:color w:val="0000FF" w:themeColor="hyperlink"/>
      <w:u w:val="single"/>
    </w:rPr>
  </w:style>
  <w:style w:type="character" w:styleId="UnresolvedMention">
    <w:name w:val="Unresolved Mention"/>
    <w:basedOn w:val="DefaultParagraphFont"/>
    <w:uiPriority w:val="99"/>
    <w:semiHidden/>
    <w:unhideWhenUsed/>
    <w:rsid w:val="006059C6"/>
    <w:rPr>
      <w:color w:val="605E5C"/>
      <w:shd w:val="clear" w:color="auto" w:fill="E1DFDD"/>
    </w:rPr>
  </w:style>
  <w:style w:type="paragraph" w:customStyle="1" w:styleId="FirstParagraph">
    <w:name w:val="First Paragraph"/>
    <w:basedOn w:val="BodyText"/>
    <w:next w:val="BodyText"/>
    <w:qFormat/>
    <w:rsid w:val="00AE5277"/>
    <w:pPr>
      <w:spacing w:before="180" w:after="180" w:line="240" w:lineRule="auto"/>
    </w:pPr>
    <w:rPr>
      <w:rFonts w:asciiTheme="minorHAnsi" w:eastAsiaTheme="minorHAnsi" w:hAnsiTheme="minorHAnsi" w:cstheme="minorBidi"/>
      <w:sz w:val="24"/>
      <w:szCs w:val="24"/>
      <w:lang w:val="en-US" w:eastAsia="en-US"/>
    </w:rPr>
  </w:style>
  <w:style w:type="paragraph" w:styleId="BodyText">
    <w:name w:val="Body Text"/>
    <w:basedOn w:val="Normal"/>
    <w:link w:val="BodyTextChar"/>
    <w:uiPriority w:val="99"/>
    <w:semiHidden/>
    <w:unhideWhenUsed/>
    <w:rsid w:val="00AE5277"/>
    <w:pPr>
      <w:spacing w:after="120"/>
    </w:pPr>
  </w:style>
  <w:style w:type="character" w:customStyle="1" w:styleId="BodyTextChar">
    <w:name w:val="Body Text Char"/>
    <w:basedOn w:val="DefaultParagraphFont"/>
    <w:link w:val="BodyText"/>
    <w:uiPriority w:val="99"/>
    <w:semiHidden/>
    <w:rsid w:val="00AE5277"/>
  </w:style>
  <w:style w:type="paragraph" w:styleId="NormalWeb">
    <w:name w:val="Normal (Web)"/>
    <w:basedOn w:val="Normal"/>
    <w:uiPriority w:val="99"/>
    <w:unhideWhenUsed/>
    <w:rsid w:val="00AE5277"/>
    <w:pPr>
      <w:spacing w:before="100" w:beforeAutospacing="1" w:after="100" w:afterAutospacing="1"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ushmanwakefield.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jH56DMit6x6R/nHQmAEwOR6Q==">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1065</Words>
  <Characters>6074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magdalena ossowska</cp:lastModifiedBy>
  <cp:revision>3</cp:revision>
  <dcterms:created xsi:type="dcterms:W3CDTF">2026-07-19T16:28:00Z</dcterms:created>
  <dcterms:modified xsi:type="dcterms:W3CDTF">2026-07-19T17:19:00Z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01c4386eb9a1dc9de2fec12738f87015bcc4ef4c8803dccae430c9e60e042de1</vt:lpwstr>
  </property>
  <property fmtid="{D5CDD505-2E9C-101B-9397-08002B2CF9AE}" pid="3" name="ContentTypeId">
    <vt:lpwstr>0x010100C609ED7BA2763A478EDE0130F91B5123</vt:lpwstr>
  </property>
</Properties>
</file>