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64B7DBE3" w:rsidR="00CC53BB" w:rsidRPr="00BF55A6" w:rsidRDefault="001340DE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Artykuł kontekstowy</w:t>
      </w:r>
    </w:p>
    <w:p w14:paraId="7C00DF83" w14:textId="77777777" w:rsidR="00446CDD" w:rsidRPr="00BF55A6" w:rsidRDefault="00446CDD" w:rsidP="00CB4E53">
      <w:pPr>
        <w:spacing w:after="360"/>
        <w:jc w:val="both"/>
      </w:pPr>
    </w:p>
    <w:p w14:paraId="4D311548" w14:textId="764F4B24" w:rsidR="00246809" w:rsidRPr="00093128" w:rsidRDefault="00093128" w:rsidP="00093128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 w:rsidRPr="008F3AFA">
        <w:rPr>
          <w:b/>
          <w:bCs/>
          <w:color w:val="283796"/>
          <w:sz w:val="40"/>
          <w:szCs w:val="40"/>
        </w:rPr>
        <w:t>Gdzie ludzie przeczekują upały? Niekoniecznie w domu</w:t>
      </w:r>
    </w:p>
    <w:p w14:paraId="65ADAE33" w14:textId="3808C3F0" w:rsidR="00446CDD" w:rsidRPr="007D6C10" w:rsidRDefault="00446CDD" w:rsidP="00446CDD">
      <w:pPr>
        <w:jc w:val="both"/>
        <w:rPr>
          <w:color w:val="283897" w:themeColor="accent1"/>
        </w:rPr>
      </w:pPr>
      <w:r w:rsidRPr="007122C8">
        <w:rPr>
          <w:b/>
          <w:bCs/>
          <w:color w:val="283897" w:themeColor="accent1"/>
        </w:rPr>
        <w:t xml:space="preserve">Warszawa, </w:t>
      </w:r>
      <w:r w:rsidR="00B23C4B">
        <w:rPr>
          <w:b/>
          <w:bCs/>
          <w:color w:val="283897" w:themeColor="accent1"/>
        </w:rPr>
        <w:t>16</w:t>
      </w:r>
      <w:r w:rsidR="00A81442">
        <w:rPr>
          <w:b/>
          <w:bCs/>
          <w:color w:val="283897" w:themeColor="accent1"/>
        </w:rPr>
        <w:t xml:space="preserve"> </w:t>
      </w:r>
      <w:r w:rsidR="00DD05DC">
        <w:rPr>
          <w:b/>
          <w:bCs/>
          <w:color w:val="283897" w:themeColor="accent1"/>
        </w:rPr>
        <w:t xml:space="preserve">lipca </w:t>
      </w:r>
      <w:r w:rsidRPr="007122C8">
        <w:rPr>
          <w:b/>
          <w:bCs/>
          <w:color w:val="283897" w:themeColor="accent1"/>
        </w:rPr>
        <w:t>2026 r.</w:t>
      </w:r>
    </w:p>
    <w:p w14:paraId="5D18FC61" w14:textId="77777777" w:rsidR="00D13FBD" w:rsidRDefault="00D13FBD" w:rsidP="001340DE">
      <w:pPr>
        <w:jc w:val="both"/>
        <w:rPr>
          <w:b/>
          <w:bCs/>
          <w:color w:val="283897" w:themeColor="accent1"/>
        </w:rPr>
      </w:pPr>
    </w:p>
    <w:p w14:paraId="03DF8DA3" w14:textId="30679752" w:rsidR="00093128" w:rsidRDefault="00B23C4B" w:rsidP="00A031F3">
      <w:pPr>
        <w:jc w:val="both"/>
        <w:rPr>
          <w:b/>
          <w:bCs/>
          <w:color w:val="283897" w:themeColor="accent1"/>
        </w:rPr>
      </w:pPr>
      <w:r w:rsidRPr="00B23C4B">
        <w:rPr>
          <w:b/>
          <w:bCs/>
          <w:color w:val="283897" w:themeColor="accent1"/>
        </w:rPr>
        <w:t>IMGW ostrzega przed kolejną falą upałów, które w najbliższych dniach mają ponownie objąć znaczną część kraju, momentami z temperaturami przekraczającymi 30°C. Rośnie liczba miejsc, w których mieszkańcy szukają ochłody. Choć intuicyjnie wydaje się, że najbezpieczniej zostać w domu, rzeczywistość jest bardziej złożona – zwłaszcza w budynkach bez klimatyzacji lub przy jej ograniczonym dostępie. Coraz częściej to przestrzenie publiczne stają się punktami schronienia przed gorącem. Eksperci podkreślają, że wybór miejsca w czasie upału ma bezpośredni wpływ na zdrowie i wskazują te, dzięki którym łatwiej zachować komfort termiczny.</w:t>
      </w:r>
    </w:p>
    <w:p w14:paraId="5BDC9C88" w14:textId="77777777" w:rsidR="00B23C4B" w:rsidRDefault="00B23C4B" w:rsidP="00A031F3">
      <w:pPr>
        <w:jc w:val="both"/>
        <w:rPr>
          <w:color w:val="283897" w:themeColor="accent1"/>
        </w:rPr>
      </w:pPr>
    </w:p>
    <w:p w14:paraId="491CD5DA" w14:textId="77777777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 xml:space="preserve">W typowym mieszkaniu w bloku z lat 70.–90., bez klimatyzacji, temperatura wewnątrz potrafi przekroczyć 30°C już w połowie dnia i utrzymywać się do późnego wieczora – ściany akumulują ciepło szybciej, niż je oddają. </w:t>
      </w:r>
    </w:p>
    <w:p w14:paraId="7244EBA7" w14:textId="77777777" w:rsidR="00093128" w:rsidRPr="008F3AFA" w:rsidRDefault="00093128" w:rsidP="00093128">
      <w:pPr>
        <w:jc w:val="both"/>
        <w:rPr>
          <w:color w:val="283897" w:themeColor="accent1"/>
        </w:rPr>
      </w:pPr>
    </w:p>
    <w:p w14:paraId="59114F3E" w14:textId="77777777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>Według Eurostatu w 2023 roku klimatyzację miało zaledwie około 20 proc. gospodarstw domowych w Polsce, podczas gdy w dużych obiektach komercyjnych w miastach – ponad 90 proc. To pokazuje, jak nierówno rozłożony jest dziś dostęp do kontrolowanego mikroklimatu i dlaczego przestrzenie publiczne oraz komercyjne coraz częściej stają się punktami schronienia przed gorącem.</w:t>
      </w:r>
    </w:p>
    <w:p w14:paraId="0819D4D2" w14:textId="77777777" w:rsidR="00093128" w:rsidRPr="008F3AFA" w:rsidRDefault="00093128" w:rsidP="00093128">
      <w:pPr>
        <w:jc w:val="both"/>
        <w:rPr>
          <w:color w:val="283897" w:themeColor="accent1"/>
        </w:rPr>
      </w:pPr>
    </w:p>
    <w:p w14:paraId="620620DA" w14:textId="730C0C8C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 xml:space="preserve">Na ten problem zaczynają reagować również instytucje państwowe. </w:t>
      </w:r>
      <w:r w:rsidR="00096D1D">
        <w:rPr>
          <w:color w:val="283897" w:themeColor="accent1"/>
        </w:rPr>
        <w:t xml:space="preserve">W czerwcu </w:t>
      </w:r>
      <w:r w:rsidRPr="008F3AFA">
        <w:rPr>
          <w:color w:val="283897" w:themeColor="accent1"/>
        </w:rPr>
        <w:t xml:space="preserve">Instytut Meteorologii i Gospodarki Wodnej (IMGW) w swoich oficjalnych alertach biometeorologicznych zaczął wprost wskazywać miejsca, w których można bezpiecznie przeczekać największy upał. </w:t>
      </w:r>
      <w:r w:rsidRPr="008F3AFA">
        <w:rPr>
          <w:i/>
          <w:iCs/>
          <w:color w:val="283897" w:themeColor="accent1"/>
        </w:rPr>
        <w:t>„Osoby, które nie mają klimatyzacji w domu, zwłaszcza seniorzy, powinny rozważyć udanie się do stref chłodzenia (jeśli zostały wyznaczone) lub do centrów handlowych w swojej okolicy”</w:t>
      </w:r>
      <w:r w:rsidRPr="008F3AFA">
        <w:rPr>
          <w:color w:val="283897" w:themeColor="accent1"/>
        </w:rPr>
        <w:t xml:space="preserve"> – apel</w:t>
      </w:r>
      <w:r w:rsidR="00096D1D">
        <w:rPr>
          <w:color w:val="283897" w:themeColor="accent1"/>
        </w:rPr>
        <w:t>ował</w:t>
      </w:r>
      <w:r w:rsidRPr="008F3AFA">
        <w:rPr>
          <w:color w:val="283897" w:themeColor="accent1"/>
        </w:rPr>
        <w:t xml:space="preserve"> Instytut, przypominając jednocześnie o konieczności regularnego nawadniania organizmu i ograniczania aktywności fizycznej.</w:t>
      </w:r>
    </w:p>
    <w:p w14:paraId="20273D9D" w14:textId="77777777" w:rsidR="00093128" w:rsidRPr="008F3AFA" w:rsidRDefault="00093128" w:rsidP="00093128">
      <w:pPr>
        <w:jc w:val="both"/>
        <w:rPr>
          <w:color w:val="283897" w:themeColor="accent1"/>
        </w:rPr>
      </w:pPr>
    </w:p>
    <w:p w14:paraId="1C737186" w14:textId="77777777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 xml:space="preserve">– </w:t>
      </w:r>
      <w:r w:rsidRPr="008F3AFA">
        <w:rPr>
          <w:i/>
          <w:iCs/>
          <w:color w:val="283897" w:themeColor="accent1"/>
        </w:rPr>
        <w:t xml:space="preserve">Rekomendacja IMGW pokazuje, że podczas ekstremalnych temperatur centra handlowe mogą pełnić dodatkową funkcję jako łatwo dostępne przestrzenie, pozwalające ograniczyć ryzyko przegrzania organizmu u grup najbardziej narażonych na skutki upałów. Podobne rozwiązania od lat sprawdzają się w Europie Południowej. Podczas fal gorąca władze Barcelony czy Paryża oficjalnie włączają infrastrukturę komercyjną oraz biblioteki do miejskich planów zarządzania kryzysowego jako tzw. </w:t>
      </w:r>
      <w:proofErr w:type="spellStart"/>
      <w:r w:rsidRPr="008F3AFA">
        <w:rPr>
          <w:i/>
          <w:iCs/>
          <w:color w:val="283897" w:themeColor="accent1"/>
        </w:rPr>
        <w:t>cooling</w:t>
      </w:r>
      <w:proofErr w:type="spellEnd"/>
      <w:r w:rsidRPr="008F3AFA">
        <w:rPr>
          <w:i/>
          <w:iCs/>
          <w:color w:val="283897" w:themeColor="accent1"/>
        </w:rPr>
        <w:t xml:space="preserve"> </w:t>
      </w:r>
      <w:proofErr w:type="spellStart"/>
      <w:r w:rsidRPr="008F3AFA">
        <w:rPr>
          <w:i/>
          <w:iCs/>
          <w:color w:val="283897" w:themeColor="accent1"/>
        </w:rPr>
        <w:t>centers</w:t>
      </w:r>
      <w:proofErr w:type="spellEnd"/>
      <w:r w:rsidRPr="008F3AFA">
        <w:rPr>
          <w:color w:val="283897" w:themeColor="accent1"/>
        </w:rPr>
        <w:t xml:space="preserve"> –  zauważa </w:t>
      </w:r>
      <w:r w:rsidRPr="008F3AFA">
        <w:rPr>
          <w:b/>
          <w:bCs/>
          <w:color w:val="283897" w:themeColor="accent1"/>
        </w:rPr>
        <w:t>Piotr Zwoliński</w:t>
      </w:r>
      <w:r w:rsidRPr="008F3AFA">
        <w:rPr>
          <w:color w:val="283897" w:themeColor="accent1"/>
        </w:rPr>
        <w:t xml:space="preserve">, General Services Manager w </w:t>
      </w:r>
      <w:proofErr w:type="spellStart"/>
      <w:r w:rsidRPr="008F3AFA">
        <w:rPr>
          <w:color w:val="283897" w:themeColor="accent1"/>
        </w:rPr>
        <w:t>Sodexo</w:t>
      </w:r>
      <w:proofErr w:type="spellEnd"/>
      <w:r w:rsidRPr="008F3AFA">
        <w:rPr>
          <w:color w:val="283897" w:themeColor="accent1"/>
        </w:rPr>
        <w:t xml:space="preserve"> Polska.</w:t>
      </w:r>
    </w:p>
    <w:p w14:paraId="13D6F215" w14:textId="77777777" w:rsidR="00093128" w:rsidRPr="008F3AFA" w:rsidRDefault="00093128" w:rsidP="00093128">
      <w:pPr>
        <w:jc w:val="both"/>
        <w:rPr>
          <w:b/>
          <w:bCs/>
          <w:color w:val="283897" w:themeColor="accent1"/>
        </w:rPr>
      </w:pPr>
    </w:p>
    <w:p w14:paraId="3811BF49" w14:textId="77777777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>Nowoczesne galerie są projektowane tak, aby utrzymywać stabilne parametry powietrza niezależnie od warunków zewnętrznych. Dlatego, nawet gdy w cieniu temperatura przekracza 35°C, wewnątrz panuje temperatura 21–24°C oraz wilgotność na poziomie 40–60 proc.</w:t>
      </w:r>
    </w:p>
    <w:p w14:paraId="1BE41B14" w14:textId="77777777" w:rsidR="00093128" w:rsidRPr="008F3AFA" w:rsidRDefault="00093128" w:rsidP="00093128">
      <w:pPr>
        <w:jc w:val="both"/>
        <w:rPr>
          <w:color w:val="283897" w:themeColor="accent1"/>
        </w:rPr>
      </w:pPr>
    </w:p>
    <w:p w14:paraId="18EF93A7" w14:textId="77777777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lastRenderedPageBreak/>
        <w:t xml:space="preserve">– </w:t>
      </w:r>
      <w:r w:rsidRPr="008F3AFA">
        <w:rPr>
          <w:i/>
          <w:iCs/>
          <w:color w:val="283897" w:themeColor="accent1"/>
        </w:rPr>
        <w:t>Systemy HVAC w takich budynkach dysponują dużym zapasem mocy chłodniczej, oryginalnie projektowanym pod obsługę maksymalnych potoków klientów. Ten zapas pozwala obiektom na bezpieczną pracę w skrajnych temperaturach, a także na realizację nowych funkcji społecznych. Głośne w mediach maratony i biegi organizowane w klimatyzowanych pasażach w Singapurze czy Dubaju, gdzie letnie temperatury uniemożliwiają jakąkolwiek aktywność na zewnątrz, to bezpośredni dowód na to, że technologia pozwala na bezpieczne funkcjonowanie nawet w ekstremalnym klimacie. W Polsce, przy obecnych anomaliach pogodowych, obiekty wielkopowierzchniowe naturalnie zaczynają przejmować rolę takich miejskich punktów schronienia</w:t>
      </w:r>
      <w:r w:rsidRPr="008F3AFA">
        <w:rPr>
          <w:color w:val="283897" w:themeColor="accent1"/>
        </w:rPr>
        <w:t xml:space="preserve"> – tłumaczy ekspert </w:t>
      </w:r>
      <w:proofErr w:type="spellStart"/>
      <w:r w:rsidRPr="008F3AFA">
        <w:rPr>
          <w:color w:val="283897" w:themeColor="accent1"/>
        </w:rPr>
        <w:t>Sodexo</w:t>
      </w:r>
      <w:proofErr w:type="spellEnd"/>
      <w:r w:rsidRPr="008F3AFA">
        <w:rPr>
          <w:color w:val="283897" w:themeColor="accent1"/>
        </w:rPr>
        <w:t>.</w:t>
      </w:r>
    </w:p>
    <w:p w14:paraId="3A0028C9" w14:textId="77777777" w:rsidR="00093128" w:rsidRPr="008F3AFA" w:rsidRDefault="00093128" w:rsidP="00093128">
      <w:pPr>
        <w:jc w:val="both"/>
        <w:rPr>
          <w:color w:val="283897" w:themeColor="accent1"/>
        </w:rPr>
      </w:pPr>
    </w:p>
    <w:p w14:paraId="33298CEC" w14:textId="77777777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 xml:space="preserve">W podobny sposób zmienia się postrzeganie nowoczesnych biurowców klasy A i B, zwłaszcza tych posiadających certyfikaty BREEAM czy LEED. Budynki te są technologicznie przygotowane do utrzymywania stabilnego mikroklimatu przy zmiennym obłożeniu i silnym nasłonecznieniu przez cały dzień. W czasie letnich upałów zarządcy nieruchomości obserwują wyraźną zmianę </w:t>
      </w:r>
      <w:proofErr w:type="spellStart"/>
      <w:r w:rsidRPr="008F3AFA">
        <w:rPr>
          <w:color w:val="283897" w:themeColor="accent1"/>
        </w:rPr>
        <w:t>zachowań</w:t>
      </w:r>
      <w:proofErr w:type="spellEnd"/>
      <w:r w:rsidRPr="008F3AFA">
        <w:rPr>
          <w:color w:val="283897" w:themeColor="accent1"/>
        </w:rPr>
        <w:t>: pracownicy coraz częściej decydują się na dłuższą obecność w biurze lub rezygnują z pracy zdalnej, by nie wracać do nagrzanych mieszkań. Dla pracodawców zapewnienie takich warunków to nie tylko kwestia komfortu zespołów, ale też obowiązek prawny wynikający z przepisów BHP, według których praca w temperaturze powyżej 28°C drastycznie obniża produktywność i zwiększa ryzyko absencji chorobowych.</w:t>
      </w:r>
    </w:p>
    <w:p w14:paraId="5C1014C5" w14:textId="77777777" w:rsidR="00093128" w:rsidRPr="008F3AFA" w:rsidRDefault="00093128" w:rsidP="00093128">
      <w:pPr>
        <w:jc w:val="both"/>
        <w:rPr>
          <w:color w:val="283897" w:themeColor="accent1"/>
        </w:rPr>
      </w:pPr>
    </w:p>
    <w:p w14:paraId="6FF9BE01" w14:textId="77777777" w:rsidR="00093128" w:rsidRDefault="00093128" w:rsidP="00093128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>Skuteczne chłodzenie dużych obiektów to jednak tylko jeden z elementów znacznie szerszej układanki. Prawdziwym wyzwaniem dla polskich miast staje się zjawisko miejskiej wyspy ciepła oraz wszechobecna „</w:t>
      </w:r>
      <w:proofErr w:type="spellStart"/>
      <w:r w:rsidRPr="008F3AFA">
        <w:rPr>
          <w:color w:val="283897" w:themeColor="accent1"/>
        </w:rPr>
        <w:t>betonoza</w:t>
      </w:r>
      <w:proofErr w:type="spellEnd"/>
      <w:r w:rsidRPr="008F3AFA">
        <w:rPr>
          <w:color w:val="283897" w:themeColor="accent1"/>
        </w:rPr>
        <w:t>”. Zabetonowane rynki, place zamienione w kamienne patelnie i kilometry asfaltu tworzą dużą powierzchnię akumulacji cieplnej. Materiały te nagrzewają się w słońcu przez cały dzień, a w nocy oddają to ciepło do otoczenia. W efekcie ulice i place nie mają kiedy ostygnąć, co blokuje naturalny ruch powietrza w mieście i obniża komfort życia mieszkańców. Właśnie dlatego tak ważne jest nowe podejście do projektowania przestrzeni – tak, wewnątrz, jak i na zewnątrz.</w:t>
      </w:r>
    </w:p>
    <w:p w14:paraId="5AFB108B" w14:textId="77777777" w:rsidR="00093128" w:rsidRPr="008F3AFA" w:rsidRDefault="00093128" w:rsidP="00093128">
      <w:pPr>
        <w:jc w:val="both"/>
        <w:rPr>
          <w:color w:val="283897" w:themeColor="accent1"/>
        </w:rPr>
      </w:pPr>
    </w:p>
    <w:p w14:paraId="1FA2F1A4" w14:textId="3C3AE41B" w:rsidR="00093128" w:rsidRDefault="00093128" w:rsidP="00443616">
      <w:pPr>
        <w:jc w:val="both"/>
        <w:rPr>
          <w:color w:val="283897" w:themeColor="accent1"/>
        </w:rPr>
      </w:pPr>
      <w:r w:rsidRPr="008F3AFA">
        <w:rPr>
          <w:color w:val="283897" w:themeColor="accent1"/>
        </w:rPr>
        <w:t xml:space="preserve">– </w:t>
      </w:r>
      <w:r w:rsidRPr="008F3AFA">
        <w:rPr>
          <w:i/>
          <w:iCs/>
          <w:color w:val="283897" w:themeColor="accent1"/>
        </w:rPr>
        <w:t xml:space="preserve">Uwagę urbanistów, architektów i ekspertów z różnych branż przyciągają dziś rozwiązania błękitno-zielonej infrastruktury. Coraz częściej projektuje się zielone dachy czy żywe fasady, ale decydujące znaczenie ma odpowiednie zagospodarowanie terenu wokół samych inwestycji – tworzenie ogrodów deszczowych, sadzenie drzew i krzewów oraz zakładanie stref zielonej retencji zasilanych odzyskaną szarą wodą. Roślinność na poziomie gruntu, dzięki procesowi </w:t>
      </w:r>
      <w:proofErr w:type="spellStart"/>
      <w:r w:rsidRPr="008F3AFA">
        <w:rPr>
          <w:i/>
          <w:iCs/>
          <w:color w:val="283897" w:themeColor="accent1"/>
        </w:rPr>
        <w:t>ewapotranspiracji</w:t>
      </w:r>
      <w:proofErr w:type="spellEnd"/>
      <w:r w:rsidRPr="008F3AFA">
        <w:rPr>
          <w:i/>
          <w:iCs/>
          <w:color w:val="283897" w:themeColor="accent1"/>
        </w:rPr>
        <w:t>, czyli parowania, działa jak naturalny czynnik chłodzący, wydatnie obniżając temperaturę w bezpośrednim sąsiedztwie kompleksów biurowych. W ten sposób nowoczesne obiekty komercyjne nie tylko zachowują pełną efektywność energetyczną, ale stają się punktami stabilizującymi bilans cieplny w swojej okolicy i odciążają całą tkankę miejską</w:t>
      </w:r>
      <w:r w:rsidRPr="008F3AFA">
        <w:rPr>
          <w:color w:val="283897" w:themeColor="accent1"/>
        </w:rPr>
        <w:t xml:space="preserve"> – podsumowuje </w:t>
      </w:r>
      <w:r w:rsidRPr="002F367F">
        <w:rPr>
          <w:b/>
          <w:bCs/>
          <w:color w:val="283897" w:themeColor="accent1"/>
        </w:rPr>
        <w:t>Piotr Zwoliński</w:t>
      </w:r>
      <w:r w:rsidRPr="008F3AFA">
        <w:rPr>
          <w:color w:val="283897" w:themeColor="accent1"/>
        </w:rPr>
        <w:t xml:space="preserve">, General Services Manager w </w:t>
      </w:r>
      <w:proofErr w:type="spellStart"/>
      <w:r w:rsidRPr="008F3AFA">
        <w:rPr>
          <w:color w:val="283897" w:themeColor="accent1"/>
        </w:rPr>
        <w:t>Sodexo</w:t>
      </w:r>
      <w:proofErr w:type="spellEnd"/>
      <w:r w:rsidRPr="008F3AFA">
        <w:rPr>
          <w:color w:val="283897" w:themeColor="accent1"/>
        </w:rPr>
        <w:t xml:space="preserve"> Polska.</w:t>
      </w:r>
    </w:p>
    <w:p w14:paraId="75EBCD7E" w14:textId="77777777" w:rsidR="00443616" w:rsidRPr="00443616" w:rsidRDefault="00443616" w:rsidP="00443616">
      <w:pPr>
        <w:jc w:val="both"/>
        <w:rPr>
          <w:color w:val="283897" w:themeColor="accent1"/>
        </w:rPr>
      </w:pPr>
    </w:p>
    <w:p w14:paraId="69D414FF" w14:textId="77777777" w:rsidR="00443616" w:rsidRPr="0090469B" w:rsidRDefault="00443616" w:rsidP="00CB4E53">
      <w:pPr>
        <w:jc w:val="both"/>
        <w:rPr>
          <w:color w:val="283897" w:themeColor="accent1"/>
        </w:rPr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 xml:space="preserve">O </w:t>
      </w:r>
      <w:proofErr w:type="spellStart"/>
      <w:r w:rsidRPr="005D729C">
        <w:rPr>
          <w:b/>
          <w:bCs/>
          <w:sz w:val="20"/>
        </w:rPr>
        <w:t>Sodexo</w:t>
      </w:r>
      <w:proofErr w:type="spellEnd"/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Firma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Grupę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dąży do poprawy jakości życia swoich pracowników i osób, którym świadczy usługi, jednocześnie wywierając pozytywny wpływ na rozwój gospodarczy, społeczny i środowiskowy w krajach, w których </w:t>
      </w:r>
      <w:r w:rsidRPr="005D729C">
        <w:rPr>
          <w:sz w:val="20"/>
        </w:rPr>
        <w:lastRenderedPageBreak/>
        <w:t>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7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8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proofErr w:type="spellStart"/>
      <w:r w:rsidRPr="005D729C">
        <w:rPr>
          <w:b/>
          <w:bCs/>
          <w:sz w:val="20"/>
        </w:rPr>
        <w:t>Sodexo</w:t>
      </w:r>
      <w:proofErr w:type="spellEnd"/>
      <w:r w:rsidRPr="005D729C">
        <w:rPr>
          <w:b/>
          <w:bCs/>
          <w:sz w:val="20"/>
        </w:rPr>
        <w:t xml:space="preserve"> w liczbach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3D0A23">
            <w:pPr>
              <w:numPr>
                <w:ilvl w:val="0"/>
                <w:numId w:val="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28896C42" w:rsidR="00A80A31" w:rsidRPr="005D729C" w:rsidRDefault="00A80A31" w:rsidP="003D0A23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3D0A23">
            <w:pPr>
              <w:numPr>
                <w:ilvl w:val="0"/>
                <w:numId w:val="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3D0A23">
            <w:pPr>
              <w:numPr>
                <w:ilvl w:val="0"/>
                <w:numId w:val="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3D0A2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proofErr w:type="spellStart"/>
      <w:r w:rsidR="00A80A31" w:rsidRPr="005D729C">
        <w:rPr>
          <w:b/>
          <w:bCs/>
          <w:sz w:val="20"/>
        </w:rPr>
        <w:t>Sodexo</w:t>
      </w:r>
      <w:proofErr w:type="spellEnd"/>
      <w:r w:rsidR="00A80A31" w:rsidRPr="005D729C">
        <w:rPr>
          <w:b/>
          <w:bCs/>
          <w:sz w:val="20"/>
        </w:rPr>
        <w:t xml:space="preserve"> w Polsce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3D0A23">
            <w:pPr>
              <w:numPr>
                <w:ilvl w:val="0"/>
                <w:numId w:val="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3D0A23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5008" w14:textId="77777777" w:rsidR="001A1AC4" w:rsidRPr="005D729C" w:rsidRDefault="001A1AC4" w:rsidP="0093549C">
      <w:r w:rsidRPr="005D729C">
        <w:separator/>
      </w:r>
    </w:p>
  </w:endnote>
  <w:endnote w:type="continuationSeparator" w:id="0">
    <w:p w14:paraId="01E8F635" w14:textId="77777777" w:rsidR="001A1AC4" w:rsidRPr="005D729C" w:rsidRDefault="001A1AC4" w:rsidP="0093549C">
      <w:r w:rsidRPr="005D729C">
        <w:continuationSeparator/>
      </w:r>
    </w:p>
  </w:endnote>
  <w:endnote w:type="continuationNotice" w:id="1">
    <w:p w14:paraId="0B399E15" w14:textId="77777777" w:rsidR="001A1AC4" w:rsidRPr="005D729C" w:rsidRDefault="001A1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B5678F" w:rsidRPr="005D729C" w:rsidRDefault="00B5678F" w:rsidP="004E0EFB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2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4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D62D2EA" w14:textId="77777777" w:rsidR="00B5678F" w:rsidRPr="005D729C" w:rsidRDefault="00B5678F" w:rsidP="004E0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B5678F" w:rsidRPr="005D729C" w:rsidRDefault="00B5678F" w:rsidP="00D64BCF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41A326B8" w14:textId="77777777" w:rsidR="00B5678F" w:rsidRPr="005D729C" w:rsidRDefault="00B5678F" w:rsidP="00D64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C524" w14:textId="77777777" w:rsidR="001A1AC4" w:rsidRPr="005D729C" w:rsidRDefault="001A1AC4" w:rsidP="0093549C">
      <w:r w:rsidRPr="005D729C">
        <w:separator/>
      </w:r>
    </w:p>
  </w:footnote>
  <w:footnote w:type="continuationSeparator" w:id="0">
    <w:p w14:paraId="3435B103" w14:textId="77777777" w:rsidR="001A1AC4" w:rsidRPr="005D729C" w:rsidRDefault="001A1AC4" w:rsidP="0093549C">
      <w:r w:rsidRPr="005D729C">
        <w:continuationSeparator/>
      </w:r>
    </w:p>
  </w:footnote>
  <w:footnote w:type="continuationNotice" w:id="1">
    <w:p w14:paraId="16A10DFA" w14:textId="77777777" w:rsidR="001A1AC4" w:rsidRPr="005D729C" w:rsidRDefault="001A1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B5678F" w:rsidRPr="005D729C" w:rsidRDefault="00B5678F" w:rsidP="0035637F">
    <w:pPr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5D78A172-42CF-495D-A9C9-E2B8B95A7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B5678F" w:rsidRPr="005D729C" w:rsidRDefault="00B5678F" w:rsidP="004E0EFB"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F0F74DA8-05B1-4284-8A40-F34DED0B80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8C80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74784">
    <w:abstractNumId w:val="4"/>
  </w:num>
  <w:num w:numId="2" w16cid:durableId="1148480285">
    <w:abstractNumId w:val="24"/>
  </w:num>
  <w:num w:numId="3" w16cid:durableId="1178544951">
    <w:abstractNumId w:val="9"/>
  </w:num>
  <w:num w:numId="4" w16cid:durableId="1180582094">
    <w:abstractNumId w:val="21"/>
  </w:num>
  <w:num w:numId="5" w16cid:durableId="120001014">
    <w:abstractNumId w:val="13"/>
  </w:num>
  <w:num w:numId="6" w16cid:durableId="1612517270">
    <w:abstractNumId w:val="22"/>
  </w:num>
  <w:num w:numId="7" w16cid:durableId="1617983025">
    <w:abstractNumId w:val="20"/>
  </w:num>
  <w:num w:numId="8" w16cid:durableId="1629042417">
    <w:abstractNumId w:val="5"/>
  </w:num>
  <w:num w:numId="9" w16cid:durableId="1687831380">
    <w:abstractNumId w:val="11"/>
  </w:num>
  <w:num w:numId="10" w16cid:durableId="1857962363">
    <w:abstractNumId w:val="1"/>
  </w:num>
  <w:num w:numId="11" w16cid:durableId="186260842">
    <w:abstractNumId w:val="8"/>
  </w:num>
  <w:num w:numId="12" w16cid:durableId="195237872">
    <w:abstractNumId w:val="18"/>
  </w:num>
  <w:num w:numId="13" w16cid:durableId="20018785">
    <w:abstractNumId w:val="17"/>
  </w:num>
  <w:num w:numId="14" w16cid:durableId="344090559">
    <w:abstractNumId w:val="23"/>
  </w:num>
  <w:num w:numId="15" w16cid:durableId="369379496">
    <w:abstractNumId w:val="14"/>
  </w:num>
  <w:num w:numId="16" w16cid:durableId="431165576">
    <w:abstractNumId w:val="12"/>
  </w:num>
  <w:num w:numId="17" w16cid:durableId="432240489">
    <w:abstractNumId w:val="2"/>
  </w:num>
  <w:num w:numId="18" w16cid:durableId="43262847">
    <w:abstractNumId w:val="16"/>
  </w:num>
  <w:num w:numId="19" w16cid:durableId="450591497">
    <w:abstractNumId w:val="3"/>
  </w:num>
  <w:num w:numId="20" w16cid:durableId="493647309">
    <w:abstractNumId w:val="19"/>
  </w:num>
  <w:num w:numId="21" w16cid:durableId="516819459">
    <w:abstractNumId w:val="15"/>
  </w:num>
  <w:num w:numId="22" w16cid:durableId="530073559">
    <w:abstractNumId w:val="7"/>
  </w:num>
  <w:num w:numId="23" w16cid:durableId="668564523">
    <w:abstractNumId w:val="10"/>
  </w:num>
  <w:num w:numId="24" w16cid:durableId="689989487">
    <w:abstractNumId w:val="6"/>
  </w:num>
  <w:num w:numId="25" w16cid:durableId="8075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03A7"/>
    <w:rsid w:val="00003BDC"/>
    <w:rsid w:val="00003D64"/>
    <w:rsid w:val="000045FB"/>
    <w:rsid w:val="00005A50"/>
    <w:rsid w:val="000065E4"/>
    <w:rsid w:val="0001018F"/>
    <w:rsid w:val="000101C1"/>
    <w:rsid w:val="0001092F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473C6"/>
    <w:rsid w:val="000500D1"/>
    <w:rsid w:val="00051AED"/>
    <w:rsid w:val="0005543A"/>
    <w:rsid w:val="0005560C"/>
    <w:rsid w:val="00055CB6"/>
    <w:rsid w:val="000639F9"/>
    <w:rsid w:val="000651D8"/>
    <w:rsid w:val="00066931"/>
    <w:rsid w:val="000678B5"/>
    <w:rsid w:val="000715DA"/>
    <w:rsid w:val="00071CD9"/>
    <w:rsid w:val="00073FEC"/>
    <w:rsid w:val="0008010F"/>
    <w:rsid w:val="0008054E"/>
    <w:rsid w:val="000822A9"/>
    <w:rsid w:val="00083872"/>
    <w:rsid w:val="000844BC"/>
    <w:rsid w:val="000863ED"/>
    <w:rsid w:val="00087566"/>
    <w:rsid w:val="00087A5A"/>
    <w:rsid w:val="00087B8A"/>
    <w:rsid w:val="00090039"/>
    <w:rsid w:val="0009057D"/>
    <w:rsid w:val="00091976"/>
    <w:rsid w:val="00092EC6"/>
    <w:rsid w:val="00093128"/>
    <w:rsid w:val="00094D85"/>
    <w:rsid w:val="000962B4"/>
    <w:rsid w:val="00096D1D"/>
    <w:rsid w:val="0009798F"/>
    <w:rsid w:val="000A0B1B"/>
    <w:rsid w:val="000A10B8"/>
    <w:rsid w:val="000A4404"/>
    <w:rsid w:val="000A48F4"/>
    <w:rsid w:val="000A505A"/>
    <w:rsid w:val="000A6770"/>
    <w:rsid w:val="000A743A"/>
    <w:rsid w:val="000A7A94"/>
    <w:rsid w:val="000B1D13"/>
    <w:rsid w:val="000B20F3"/>
    <w:rsid w:val="000B4A09"/>
    <w:rsid w:val="000B5137"/>
    <w:rsid w:val="000B5AD2"/>
    <w:rsid w:val="000B5CF8"/>
    <w:rsid w:val="000B6D74"/>
    <w:rsid w:val="000B773B"/>
    <w:rsid w:val="000C071B"/>
    <w:rsid w:val="000C1E6F"/>
    <w:rsid w:val="000C68C8"/>
    <w:rsid w:val="000D06F5"/>
    <w:rsid w:val="000D157B"/>
    <w:rsid w:val="000D3D16"/>
    <w:rsid w:val="000D4A54"/>
    <w:rsid w:val="000D6197"/>
    <w:rsid w:val="000D7BFF"/>
    <w:rsid w:val="000E4E7F"/>
    <w:rsid w:val="000E5731"/>
    <w:rsid w:val="000E5AE4"/>
    <w:rsid w:val="000E77B8"/>
    <w:rsid w:val="000F0945"/>
    <w:rsid w:val="000F0C63"/>
    <w:rsid w:val="000F23AC"/>
    <w:rsid w:val="000F282D"/>
    <w:rsid w:val="000F3177"/>
    <w:rsid w:val="000F533D"/>
    <w:rsid w:val="000F605C"/>
    <w:rsid w:val="000F72E4"/>
    <w:rsid w:val="000F7617"/>
    <w:rsid w:val="001008A2"/>
    <w:rsid w:val="0010289C"/>
    <w:rsid w:val="001029E1"/>
    <w:rsid w:val="00102C80"/>
    <w:rsid w:val="0010742E"/>
    <w:rsid w:val="00107A09"/>
    <w:rsid w:val="001101B2"/>
    <w:rsid w:val="001103FB"/>
    <w:rsid w:val="00110685"/>
    <w:rsid w:val="00110933"/>
    <w:rsid w:val="0011102C"/>
    <w:rsid w:val="00111BF0"/>
    <w:rsid w:val="00113C07"/>
    <w:rsid w:val="00117143"/>
    <w:rsid w:val="00120341"/>
    <w:rsid w:val="001208BE"/>
    <w:rsid w:val="00122DB6"/>
    <w:rsid w:val="0012347C"/>
    <w:rsid w:val="00125CBB"/>
    <w:rsid w:val="001261F8"/>
    <w:rsid w:val="00126C50"/>
    <w:rsid w:val="00130283"/>
    <w:rsid w:val="00132BA3"/>
    <w:rsid w:val="001340DE"/>
    <w:rsid w:val="00134D03"/>
    <w:rsid w:val="00134F44"/>
    <w:rsid w:val="001353C6"/>
    <w:rsid w:val="00135F8B"/>
    <w:rsid w:val="0013612F"/>
    <w:rsid w:val="0013745C"/>
    <w:rsid w:val="00137A2A"/>
    <w:rsid w:val="00137CFB"/>
    <w:rsid w:val="001422D3"/>
    <w:rsid w:val="001423E9"/>
    <w:rsid w:val="00144AC2"/>
    <w:rsid w:val="00145FF5"/>
    <w:rsid w:val="001470D7"/>
    <w:rsid w:val="001503C1"/>
    <w:rsid w:val="00150D60"/>
    <w:rsid w:val="00152EBB"/>
    <w:rsid w:val="00152F7E"/>
    <w:rsid w:val="0015316B"/>
    <w:rsid w:val="001547B0"/>
    <w:rsid w:val="00155675"/>
    <w:rsid w:val="001556C5"/>
    <w:rsid w:val="00155762"/>
    <w:rsid w:val="001564BA"/>
    <w:rsid w:val="0015725B"/>
    <w:rsid w:val="00157284"/>
    <w:rsid w:val="001620F9"/>
    <w:rsid w:val="00166413"/>
    <w:rsid w:val="001668B9"/>
    <w:rsid w:val="00171D06"/>
    <w:rsid w:val="00175B94"/>
    <w:rsid w:val="00176EC8"/>
    <w:rsid w:val="001818D1"/>
    <w:rsid w:val="00182834"/>
    <w:rsid w:val="00182991"/>
    <w:rsid w:val="0018333F"/>
    <w:rsid w:val="00183A18"/>
    <w:rsid w:val="00184C68"/>
    <w:rsid w:val="00185217"/>
    <w:rsid w:val="00187522"/>
    <w:rsid w:val="0018779E"/>
    <w:rsid w:val="001921F7"/>
    <w:rsid w:val="0019292A"/>
    <w:rsid w:val="00193410"/>
    <w:rsid w:val="00193B40"/>
    <w:rsid w:val="001946C6"/>
    <w:rsid w:val="00195853"/>
    <w:rsid w:val="0019690D"/>
    <w:rsid w:val="001A10D6"/>
    <w:rsid w:val="001A1AC4"/>
    <w:rsid w:val="001A1B1B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46E2"/>
    <w:rsid w:val="001C4D45"/>
    <w:rsid w:val="001C621C"/>
    <w:rsid w:val="001C7893"/>
    <w:rsid w:val="001D24EF"/>
    <w:rsid w:val="001D5431"/>
    <w:rsid w:val="001E0055"/>
    <w:rsid w:val="001E0BE7"/>
    <w:rsid w:val="001E2284"/>
    <w:rsid w:val="001E3254"/>
    <w:rsid w:val="001E532E"/>
    <w:rsid w:val="001E62B1"/>
    <w:rsid w:val="001F0716"/>
    <w:rsid w:val="001F10BB"/>
    <w:rsid w:val="001F4E21"/>
    <w:rsid w:val="001F6BCB"/>
    <w:rsid w:val="00200132"/>
    <w:rsid w:val="00201374"/>
    <w:rsid w:val="00201AC6"/>
    <w:rsid w:val="002035FF"/>
    <w:rsid w:val="00204ADE"/>
    <w:rsid w:val="00204F86"/>
    <w:rsid w:val="002077AF"/>
    <w:rsid w:val="00207B8E"/>
    <w:rsid w:val="00210160"/>
    <w:rsid w:val="00211ED4"/>
    <w:rsid w:val="00212C55"/>
    <w:rsid w:val="00215FE0"/>
    <w:rsid w:val="00217F44"/>
    <w:rsid w:val="0022524E"/>
    <w:rsid w:val="002323D8"/>
    <w:rsid w:val="00232DFA"/>
    <w:rsid w:val="00234619"/>
    <w:rsid w:val="00234F7C"/>
    <w:rsid w:val="0023618A"/>
    <w:rsid w:val="00236678"/>
    <w:rsid w:val="00237412"/>
    <w:rsid w:val="002409BA"/>
    <w:rsid w:val="002430A3"/>
    <w:rsid w:val="00244943"/>
    <w:rsid w:val="00245419"/>
    <w:rsid w:val="00246797"/>
    <w:rsid w:val="00246809"/>
    <w:rsid w:val="0024988C"/>
    <w:rsid w:val="00251BEE"/>
    <w:rsid w:val="00252D23"/>
    <w:rsid w:val="00252E08"/>
    <w:rsid w:val="00252EB8"/>
    <w:rsid w:val="0025315A"/>
    <w:rsid w:val="00253301"/>
    <w:rsid w:val="00253F67"/>
    <w:rsid w:val="00255695"/>
    <w:rsid w:val="002557B5"/>
    <w:rsid w:val="00255D75"/>
    <w:rsid w:val="00256D44"/>
    <w:rsid w:val="00257E65"/>
    <w:rsid w:val="0026055C"/>
    <w:rsid w:val="002608AC"/>
    <w:rsid w:val="00260E92"/>
    <w:rsid w:val="00261804"/>
    <w:rsid w:val="00262C7C"/>
    <w:rsid w:val="002709A6"/>
    <w:rsid w:val="00271019"/>
    <w:rsid w:val="00273B80"/>
    <w:rsid w:val="00276A71"/>
    <w:rsid w:val="002812B4"/>
    <w:rsid w:val="00281F06"/>
    <w:rsid w:val="0028226B"/>
    <w:rsid w:val="002836DD"/>
    <w:rsid w:val="00284795"/>
    <w:rsid w:val="0028482B"/>
    <w:rsid w:val="002904AA"/>
    <w:rsid w:val="002906FD"/>
    <w:rsid w:val="00292B09"/>
    <w:rsid w:val="00293126"/>
    <w:rsid w:val="00293744"/>
    <w:rsid w:val="00293E0C"/>
    <w:rsid w:val="0029511F"/>
    <w:rsid w:val="00295D4B"/>
    <w:rsid w:val="00296FF8"/>
    <w:rsid w:val="00297F7B"/>
    <w:rsid w:val="002A1D6A"/>
    <w:rsid w:val="002A3381"/>
    <w:rsid w:val="002A654D"/>
    <w:rsid w:val="002A67B6"/>
    <w:rsid w:val="002A7203"/>
    <w:rsid w:val="002A7D8E"/>
    <w:rsid w:val="002A7E17"/>
    <w:rsid w:val="002B4BC0"/>
    <w:rsid w:val="002B61DE"/>
    <w:rsid w:val="002B6707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E2C30"/>
    <w:rsid w:val="002E5BCE"/>
    <w:rsid w:val="002F1247"/>
    <w:rsid w:val="002F2D65"/>
    <w:rsid w:val="002F367F"/>
    <w:rsid w:val="002F37D3"/>
    <w:rsid w:val="002F3E25"/>
    <w:rsid w:val="002F48D0"/>
    <w:rsid w:val="002F5696"/>
    <w:rsid w:val="002F6F3C"/>
    <w:rsid w:val="002F70C7"/>
    <w:rsid w:val="00301266"/>
    <w:rsid w:val="003030DD"/>
    <w:rsid w:val="00305639"/>
    <w:rsid w:val="00306435"/>
    <w:rsid w:val="003165DA"/>
    <w:rsid w:val="00316610"/>
    <w:rsid w:val="0031724E"/>
    <w:rsid w:val="0031760D"/>
    <w:rsid w:val="00320C9D"/>
    <w:rsid w:val="00322413"/>
    <w:rsid w:val="003236BB"/>
    <w:rsid w:val="00324CB1"/>
    <w:rsid w:val="003257B6"/>
    <w:rsid w:val="00325CF2"/>
    <w:rsid w:val="00327D0D"/>
    <w:rsid w:val="00330AD3"/>
    <w:rsid w:val="00330B95"/>
    <w:rsid w:val="003317C1"/>
    <w:rsid w:val="00332378"/>
    <w:rsid w:val="0033393A"/>
    <w:rsid w:val="00334FC4"/>
    <w:rsid w:val="00335F5E"/>
    <w:rsid w:val="0033678C"/>
    <w:rsid w:val="00337444"/>
    <w:rsid w:val="003453F0"/>
    <w:rsid w:val="00350736"/>
    <w:rsid w:val="00352778"/>
    <w:rsid w:val="00355DEE"/>
    <w:rsid w:val="0035637F"/>
    <w:rsid w:val="003567F7"/>
    <w:rsid w:val="00357544"/>
    <w:rsid w:val="003579FF"/>
    <w:rsid w:val="00360777"/>
    <w:rsid w:val="00361904"/>
    <w:rsid w:val="003634D4"/>
    <w:rsid w:val="003653D0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742"/>
    <w:rsid w:val="003B6F75"/>
    <w:rsid w:val="003C02C4"/>
    <w:rsid w:val="003C3CE2"/>
    <w:rsid w:val="003C6587"/>
    <w:rsid w:val="003C7F8E"/>
    <w:rsid w:val="003D0058"/>
    <w:rsid w:val="003D066D"/>
    <w:rsid w:val="003D0A23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6736"/>
    <w:rsid w:val="003F7389"/>
    <w:rsid w:val="003F7E98"/>
    <w:rsid w:val="0040025D"/>
    <w:rsid w:val="00400A87"/>
    <w:rsid w:val="004022B4"/>
    <w:rsid w:val="0040327A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00D"/>
    <w:rsid w:val="00420730"/>
    <w:rsid w:val="0042074C"/>
    <w:rsid w:val="004222C6"/>
    <w:rsid w:val="004223E6"/>
    <w:rsid w:val="00424ED3"/>
    <w:rsid w:val="00425677"/>
    <w:rsid w:val="00427FF4"/>
    <w:rsid w:val="00432243"/>
    <w:rsid w:val="00432DD5"/>
    <w:rsid w:val="00433EDD"/>
    <w:rsid w:val="00435734"/>
    <w:rsid w:val="00435E59"/>
    <w:rsid w:val="00435F7E"/>
    <w:rsid w:val="0043653B"/>
    <w:rsid w:val="0043653C"/>
    <w:rsid w:val="00436E36"/>
    <w:rsid w:val="0044219E"/>
    <w:rsid w:val="0044288A"/>
    <w:rsid w:val="00443111"/>
    <w:rsid w:val="00443616"/>
    <w:rsid w:val="00443D6F"/>
    <w:rsid w:val="00446CDD"/>
    <w:rsid w:val="00447DE5"/>
    <w:rsid w:val="00451DD8"/>
    <w:rsid w:val="0045216F"/>
    <w:rsid w:val="00457097"/>
    <w:rsid w:val="00457434"/>
    <w:rsid w:val="0046492C"/>
    <w:rsid w:val="004662FF"/>
    <w:rsid w:val="00466558"/>
    <w:rsid w:val="0047034A"/>
    <w:rsid w:val="004703AD"/>
    <w:rsid w:val="0047180B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96039"/>
    <w:rsid w:val="004A0E45"/>
    <w:rsid w:val="004A117D"/>
    <w:rsid w:val="004A2DFE"/>
    <w:rsid w:val="004A39F5"/>
    <w:rsid w:val="004A42CD"/>
    <w:rsid w:val="004A747A"/>
    <w:rsid w:val="004B179B"/>
    <w:rsid w:val="004B26A7"/>
    <w:rsid w:val="004B2AA8"/>
    <w:rsid w:val="004B6CD9"/>
    <w:rsid w:val="004B79F2"/>
    <w:rsid w:val="004C0722"/>
    <w:rsid w:val="004C1639"/>
    <w:rsid w:val="004C4B09"/>
    <w:rsid w:val="004C539F"/>
    <w:rsid w:val="004D05FA"/>
    <w:rsid w:val="004D2A8F"/>
    <w:rsid w:val="004D3190"/>
    <w:rsid w:val="004D3E56"/>
    <w:rsid w:val="004D48F5"/>
    <w:rsid w:val="004D5CAA"/>
    <w:rsid w:val="004D5E6B"/>
    <w:rsid w:val="004D7688"/>
    <w:rsid w:val="004E0EFB"/>
    <w:rsid w:val="004E2AD7"/>
    <w:rsid w:val="004E432B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263AA"/>
    <w:rsid w:val="005276A6"/>
    <w:rsid w:val="00531A20"/>
    <w:rsid w:val="0053293C"/>
    <w:rsid w:val="00535609"/>
    <w:rsid w:val="00537258"/>
    <w:rsid w:val="0053735F"/>
    <w:rsid w:val="0054248D"/>
    <w:rsid w:val="00542DD4"/>
    <w:rsid w:val="00544345"/>
    <w:rsid w:val="0054712E"/>
    <w:rsid w:val="00550EBD"/>
    <w:rsid w:val="005518BF"/>
    <w:rsid w:val="0055310A"/>
    <w:rsid w:val="00553D56"/>
    <w:rsid w:val="00556272"/>
    <w:rsid w:val="00557FD1"/>
    <w:rsid w:val="0056226F"/>
    <w:rsid w:val="005632BB"/>
    <w:rsid w:val="005633E4"/>
    <w:rsid w:val="00564F10"/>
    <w:rsid w:val="00565C3C"/>
    <w:rsid w:val="00565D6E"/>
    <w:rsid w:val="00570090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0A4E"/>
    <w:rsid w:val="00590F87"/>
    <w:rsid w:val="005915C6"/>
    <w:rsid w:val="00592424"/>
    <w:rsid w:val="00594F2C"/>
    <w:rsid w:val="0059630F"/>
    <w:rsid w:val="00596378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464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38A7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6F6B"/>
    <w:rsid w:val="005F7EB9"/>
    <w:rsid w:val="0060163A"/>
    <w:rsid w:val="006110AD"/>
    <w:rsid w:val="0061682B"/>
    <w:rsid w:val="00617F3D"/>
    <w:rsid w:val="006202CF"/>
    <w:rsid w:val="00621254"/>
    <w:rsid w:val="00622007"/>
    <w:rsid w:val="006227BB"/>
    <w:rsid w:val="0063199D"/>
    <w:rsid w:val="0063331A"/>
    <w:rsid w:val="00633684"/>
    <w:rsid w:val="00637431"/>
    <w:rsid w:val="0063764D"/>
    <w:rsid w:val="00640351"/>
    <w:rsid w:val="00640642"/>
    <w:rsid w:val="00640BFB"/>
    <w:rsid w:val="00640F59"/>
    <w:rsid w:val="006416E1"/>
    <w:rsid w:val="006458E9"/>
    <w:rsid w:val="00646166"/>
    <w:rsid w:val="00646524"/>
    <w:rsid w:val="006466DF"/>
    <w:rsid w:val="00652BAE"/>
    <w:rsid w:val="00653B4A"/>
    <w:rsid w:val="00655A10"/>
    <w:rsid w:val="00662975"/>
    <w:rsid w:val="00663FC0"/>
    <w:rsid w:val="006642C3"/>
    <w:rsid w:val="0066696B"/>
    <w:rsid w:val="00667232"/>
    <w:rsid w:val="00667B8B"/>
    <w:rsid w:val="006721BE"/>
    <w:rsid w:val="00676AA1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A106C"/>
    <w:rsid w:val="006A224D"/>
    <w:rsid w:val="006A251A"/>
    <w:rsid w:val="006A5CA6"/>
    <w:rsid w:val="006A7E59"/>
    <w:rsid w:val="006B3B0D"/>
    <w:rsid w:val="006B56A0"/>
    <w:rsid w:val="006B5C7E"/>
    <w:rsid w:val="006B5E63"/>
    <w:rsid w:val="006B7474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557F"/>
    <w:rsid w:val="006E0264"/>
    <w:rsid w:val="006E27BF"/>
    <w:rsid w:val="006E309E"/>
    <w:rsid w:val="006E3EE6"/>
    <w:rsid w:val="006E4267"/>
    <w:rsid w:val="006E4856"/>
    <w:rsid w:val="006E5C9A"/>
    <w:rsid w:val="006E65D0"/>
    <w:rsid w:val="006E6952"/>
    <w:rsid w:val="006E70EA"/>
    <w:rsid w:val="006E7DBB"/>
    <w:rsid w:val="006F4A30"/>
    <w:rsid w:val="006F54CA"/>
    <w:rsid w:val="006F5C22"/>
    <w:rsid w:val="006F5DD2"/>
    <w:rsid w:val="00700136"/>
    <w:rsid w:val="007021CE"/>
    <w:rsid w:val="007064F7"/>
    <w:rsid w:val="00706DD3"/>
    <w:rsid w:val="0070765A"/>
    <w:rsid w:val="007122C8"/>
    <w:rsid w:val="00712894"/>
    <w:rsid w:val="007129AA"/>
    <w:rsid w:val="00713AFC"/>
    <w:rsid w:val="00713E31"/>
    <w:rsid w:val="00714C2B"/>
    <w:rsid w:val="00722F0D"/>
    <w:rsid w:val="0072324D"/>
    <w:rsid w:val="007259C7"/>
    <w:rsid w:val="00732F29"/>
    <w:rsid w:val="007369E9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363"/>
    <w:rsid w:val="00777F88"/>
    <w:rsid w:val="007806E6"/>
    <w:rsid w:val="00780F0F"/>
    <w:rsid w:val="00781BAA"/>
    <w:rsid w:val="00783B49"/>
    <w:rsid w:val="007864A5"/>
    <w:rsid w:val="00787F33"/>
    <w:rsid w:val="00790CDC"/>
    <w:rsid w:val="007942B0"/>
    <w:rsid w:val="0079607C"/>
    <w:rsid w:val="00797857"/>
    <w:rsid w:val="007A20F7"/>
    <w:rsid w:val="007A2F52"/>
    <w:rsid w:val="007A35ED"/>
    <w:rsid w:val="007A46E2"/>
    <w:rsid w:val="007A4CBE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504E"/>
    <w:rsid w:val="007B6894"/>
    <w:rsid w:val="007B6EBE"/>
    <w:rsid w:val="007B754A"/>
    <w:rsid w:val="007C0000"/>
    <w:rsid w:val="007C5525"/>
    <w:rsid w:val="007D4D1A"/>
    <w:rsid w:val="007D6C10"/>
    <w:rsid w:val="007E0743"/>
    <w:rsid w:val="007E317D"/>
    <w:rsid w:val="007E4A36"/>
    <w:rsid w:val="007E7073"/>
    <w:rsid w:val="007E712F"/>
    <w:rsid w:val="007E72E6"/>
    <w:rsid w:val="007F1528"/>
    <w:rsid w:val="007F2FFD"/>
    <w:rsid w:val="007F517A"/>
    <w:rsid w:val="00800939"/>
    <w:rsid w:val="008009B3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161E8"/>
    <w:rsid w:val="00821232"/>
    <w:rsid w:val="00821510"/>
    <w:rsid w:val="0082164E"/>
    <w:rsid w:val="00824AD6"/>
    <w:rsid w:val="008253CF"/>
    <w:rsid w:val="008277EB"/>
    <w:rsid w:val="00830000"/>
    <w:rsid w:val="00830999"/>
    <w:rsid w:val="00840674"/>
    <w:rsid w:val="00844956"/>
    <w:rsid w:val="00845187"/>
    <w:rsid w:val="00845403"/>
    <w:rsid w:val="00845CFC"/>
    <w:rsid w:val="00846E89"/>
    <w:rsid w:val="008513E9"/>
    <w:rsid w:val="00851B34"/>
    <w:rsid w:val="00852B60"/>
    <w:rsid w:val="008537F8"/>
    <w:rsid w:val="0085468C"/>
    <w:rsid w:val="00854BE9"/>
    <w:rsid w:val="00855433"/>
    <w:rsid w:val="00855CFA"/>
    <w:rsid w:val="00855FDF"/>
    <w:rsid w:val="00856455"/>
    <w:rsid w:val="00857A15"/>
    <w:rsid w:val="00861A43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902E3"/>
    <w:rsid w:val="00890E9C"/>
    <w:rsid w:val="00893FCE"/>
    <w:rsid w:val="00894B81"/>
    <w:rsid w:val="008950FA"/>
    <w:rsid w:val="008954FA"/>
    <w:rsid w:val="008A0C67"/>
    <w:rsid w:val="008A1970"/>
    <w:rsid w:val="008A7155"/>
    <w:rsid w:val="008B0196"/>
    <w:rsid w:val="008B0716"/>
    <w:rsid w:val="008B0775"/>
    <w:rsid w:val="008B15B5"/>
    <w:rsid w:val="008B1919"/>
    <w:rsid w:val="008B2D5E"/>
    <w:rsid w:val="008B3708"/>
    <w:rsid w:val="008B5CD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E032B"/>
    <w:rsid w:val="008E14AB"/>
    <w:rsid w:val="008E48D9"/>
    <w:rsid w:val="008E6B31"/>
    <w:rsid w:val="008E6B45"/>
    <w:rsid w:val="008E6D2B"/>
    <w:rsid w:val="008E6DAA"/>
    <w:rsid w:val="008E7682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398B"/>
    <w:rsid w:val="0090469B"/>
    <w:rsid w:val="00904BD7"/>
    <w:rsid w:val="00904F01"/>
    <w:rsid w:val="00906B44"/>
    <w:rsid w:val="00907DAC"/>
    <w:rsid w:val="00907E32"/>
    <w:rsid w:val="009105FC"/>
    <w:rsid w:val="009120C3"/>
    <w:rsid w:val="009125CC"/>
    <w:rsid w:val="009125E2"/>
    <w:rsid w:val="0091399B"/>
    <w:rsid w:val="00915AB1"/>
    <w:rsid w:val="00917D50"/>
    <w:rsid w:val="009211E2"/>
    <w:rsid w:val="009242B1"/>
    <w:rsid w:val="009244E7"/>
    <w:rsid w:val="00924D6E"/>
    <w:rsid w:val="00925831"/>
    <w:rsid w:val="00925A6D"/>
    <w:rsid w:val="00927FEC"/>
    <w:rsid w:val="00930B1F"/>
    <w:rsid w:val="00931D6D"/>
    <w:rsid w:val="0093549C"/>
    <w:rsid w:val="0093688E"/>
    <w:rsid w:val="00941A93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2B3B"/>
    <w:rsid w:val="0095343E"/>
    <w:rsid w:val="00956599"/>
    <w:rsid w:val="00961141"/>
    <w:rsid w:val="00961FB5"/>
    <w:rsid w:val="00962759"/>
    <w:rsid w:val="00964387"/>
    <w:rsid w:val="00964C22"/>
    <w:rsid w:val="009659AF"/>
    <w:rsid w:val="00965F38"/>
    <w:rsid w:val="00966D42"/>
    <w:rsid w:val="0097091F"/>
    <w:rsid w:val="0097093C"/>
    <w:rsid w:val="00970E03"/>
    <w:rsid w:val="0097219D"/>
    <w:rsid w:val="009742D3"/>
    <w:rsid w:val="009758D9"/>
    <w:rsid w:val="00975F8A"/>
    <w:rsid w:val="00977FA9"/>
    <w:rsid w:val="00986CB8"/>
    <w:rsid w:val="00987731"/>
    <w:rsid w:val="00991F05"/>
    <w:rsid w:val="009967A9"/>
    <w:rsid w:val="009968C5"/>
    <w:rsid w:val="00996E82"/>
    <w:rsid w:val="0099761A"/>
    <w:rsid w:val="009A08F0"/>
    <w:rsid w:val="009A1DFA"/>
    <w:rsid w:val="009A23AB"/>
    <w:rsid w:val="009A249E"/>
    <w:rsid w:val="009A315E"/>
    <w:rsid w:val="009A4992"/>
    <w:rsid w:val="009A544E"/>
    <w:rsid w:val="009A6E34"/>
    <w:rsid w:val="009A6F20"/>
    <w:rsid w:val="009B0C10"/>
    <w:rsid w:val="009B193A"/>
    <w:rsid w:val="009B5B99"/>
    <w:rsid w:val="009C30F9"/>
    <w:rsid w:val="009C4785"/>
    <w:rsid w:val="009C5967"/>
    <w:rsid w:val="009C630C"/>
    <w:rsid w:val="009D17D0"/>
    <w:rsid w:val="009D180E"/>
    <w:rsid w:val="009D1944"/>
    <w:rsid w:val="009D29F1"/>
    <w:rsid w:val="009D2D7D"/>
    <w:rsid w:val="009D33FB"/>
    <w:rsid w:val="009D6E09"/>
    <w:rsid w:val="009D7C95"/>
    <w:rsid w:val="009E1D26"/>
    <w:rsid w:val="009E6D36"/>
    <w:rsid w:val="009E6D80"/>
    <w:rsid w:val="009F1053"/>
    <w:rsid w:val="009F1703"/>
    <w:rsid w:val="009F173E"/>
    <w:rsid w:val="009F2A80"/>
    <w:rsid w:val="009F5C7F"/>
    <w:rsid w:val="00A02881"/>
    <w:rsid w:val="00A031F3"/>
    <w:rsid w:val="00A04861"/>
    <w:rsid w:val="00A06558"/>
    <w:rsid w:val="00A103EA"/>
    <w:rsid w:val="00A10CE9"/>
    <w:rsid w:val="00A10E3D"/>
    <w:rsid w:val="00A11642"/>
    <w:rsid w:val="00A11930"/>
    <w:rsid w:val="00A12A60"/>
    <w:rsid w:val="00A1303F"/>
    <w:rsid w:val="00A14B68"/>
    <w:rsid w:val="00A14E60"/>
    <w:rsid w:val="00A152E1"/>
    <w:rsid w:val="00A15340"/>
    <w:rsid w:val="00A16265"/>
    <w:rsid w:val="00A16D57"/>
    <w:rsid w:val="00A16F07"/>
    <w:rsid w:val="00A20FFA"/>
    <w:rsid w:val="00A215D1"/>
    <w:rsid w:val="00A21CE4"/>
    <w:rsid w:val="00A22198"/>
    <w:rsid w:val="00A22EC5"/>
    <w:rsid w:val="00A2413E"/>
    <w:rsid w:val="00A2435C"/>
    <w:rsid w:val="00A31DB4"/>
    <w:rsid w:val="00A3257F"/>
    <w:rsid w:val="00A337D9"/>
    <w:rsid w:val="00A35A8E"/>
    <w:rsid w:val="00A36059"/>
    <w:rsid w:val="00A374E3"/>
    <w:rsid w:val="00A40A62"/>
    <w:rsid w:val="00A410AA"/>
    <w:rsid w:val="00A443EE"/>
    <w:rsid w:val="00A44489"/>
    <w:rsid w:val="00A4738E"/>
    <w:rsid w:val="00A52017"/>
    <w:rsid w:val="00A531A1"/>
    <w:rsid w:val="00A5601C"/>
    <w:rsid w:val="00A56BDD"/>
    <w:rsid w:val="00A5731C"/>
    <w:rsid w:val="00A61029"/>
    <w:rsid w:val="00A62C72"/>
    <w:rsid w:val="00A63026"/>
    <w:rsid w:val="00A64C9B"/>
    <w:rsid w:val="00A66627"/>
    <w:rsid w:val="00A70647"/>
    <w:rsid w:val="00A71CCD"/>
    <w:rsid w:val="00A73967"/>
    <w:rsid w:val="00A756EB"/>
    <w:rsid w:val="00A76D2C"/>
    <w:rsid w:val="00A80A31"/>
    <w:rsid w:val="00A81442"/>
    <w:rsid w:val="00A81510"/>
    <w:rsid w:val="00A83639"/>
    <w:rsid w:val="00A83653"/>
    <w:rsid w:val="00A83A09"/>
    <w:rsid w:val="00A85A14"/>
    <w:rsid w:val="00A86282"/>
    <w:rsid w:val="00A8700C"/>
    <w:rsid w:val="00A87A1A"/>
    <w:rsid w:val="00A90BBA"/>
    <w:rsid w:val="00A93325"/>
    <w:rsid w:val="00A945F6"/>
    <w:rsid w:val="00A95B80"/>
    <w:rsid w:val="00A97027"/>
    <w:rsid w:val="00AA038B"/>
    <w:rsid w:val="00AA213E"/>
    <w:rsid w:val="00AA2BCB"/>
    <w:rsid w:val="00AA394E"/>
    <w:rsid w:val="00AB0DEE"/>
    <w:rsid w:val="00AB1015"/>
    <w:rsid w:val="00AB261C"/>
    <w:rsid w:val="00AB2926"/>
    <w:rsid w:val="00AB44A1"/>
    <w:rsid w:val="00AB4A6C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22EB"/>
    <w:rsid w:val="00AD2AE3"/>
    <w:rsid w:val="00AD49DF"/>
    <w:rsid w:val="00AD5782"/>
    <w:rsid w:val="00AE3672"/>
    <w:rsid w:val="00AE7720"/>
    <w:rsid w:val="00AF52EE"/>
    <w:rsid w:val="00AF607C"/>
    <w:rsid w:val="00AF779B"/>
    <w:rsid w:val="00B0108A"/>
    <w:rsid w:val="00B01712"/>
    <w:rsid w:val="00B02761"/>
    <w:rsid w:val="00B049E8"/>
    <w:rsid w:val="00B04E24"/>
    <w:rsid w:val="00B0736D"/>
    <w:rsid w:val="00B07A1B"/>
    <w:rsid w:val="00B1102B"/>
    <w:rsid w:val="00B113DD"/>
    <w:rsid w:val="00B126EF"/>
    <w:rsid w:val="00B14F8E"/>
    <w:rsid w:val="00B14FD1"/>
    <w:rsid w:val="00B17EAC"/>
    <w:rsid w:val="00B22049"/>
    <w:rsid w:val="00B2244D"/>
    <w:rsid w:val="00B22817"/>
    <w:rsid w:val="00B22AA8"/>
    <w:rsid w:val="00B23C4B"/>
    <w:rsid w:val="00B26DF6"/>
    <w:rsid w:val="00B2793A"/>
    <w:rsid w:val="00B30196"/>
    <w:rsid w:val="00B30CFD"/>
    <w:rsid w:val="00B3101C"/>
    <w:rsid w:val="00B31246"/>
    <w:rsid w:val="00B31B53"/>
    <w:rsid w:val="00B32F4C"/>
    <w:rsid w:val="00B33F68"/>
    <w:rsid w:val="00B3574E"/>
    <w:rsid w:val="00B36197"/>
    <w:rsid w:val="00B37906"/>
    <w:rsid w:val="00B401D4"/>
    <w:rsid w:val="00B431E9"/>
    <w:rsid w:val="00B442A7"/>
    <w:rsid w:val="00B450E7"/>
    <w:rsid w:val="00B45514"/>
    <w:rsid w:val="00B45780"/>
    <w:rsid w:val="00B47DBC"/>
    <w:rsid w:val="00B50580"/>
    <w:rsid w:val="00B54B60"/>
    <w:rsid w:val="00B562B4"/>
    <w:rsid w:val="00B566D5"/>
    <w:rsid w:val="00B5678F"/>
    <w:rsid w:val="00B576B4"/>
    <w:rsid w:val="00B60655"/>
    <w:rsid w:val="00B629B9"/>
    <w:rsid w:val="00B64C81"/>
    <w:rsid w:val="00B64DA6"/>
    <w:rsid w:val="00B64F18"/>
    <w:rsid w:val="00B65F9C"/>
    <w:rsid w:val="00B66CFD"/>
    <w:rsid w:val="00B67306"/>
    <w:rsid w:val="00B67B8E"/>
    <w:rsid w:val="00B73296"/>
    <w:rsid w:val="00B737FC"/>
    <w:rsid w:val="00B83A26"/>
    <w:rsid w:val="00B84FCB"/>
    <w:rsid w:val="00B85708"/>
    <w:rsid w:val="00B860D9"/>
    <w:rsid w:val="00B864CE"/>
    <w:rsid w:val="00B90677"/>
    <w:rsid w:val="00B92FB1"/>
    <w:rsid w:val="00B939C7"/>
    <w:rsid w:val="00B94643"/>
    <w:rsid w:val="00B94731"/>
    <w:rsid w:val="00B97A2A"/>
    <w:rsid w:val="00BA1268"/>
    <w:rsid w:val="00BA1B26"/>
    <w:rsid w:val="00BB09A5"/>
    <w:rsid w:val="00BB1CCF"/>
    <w:rsid w:val="00BB3C6B"/>
    <w:rsid w:val="00BB4BED"/>
    <w:rsid w:val="00BB6FAF"/>
    <w:rsid w:val="00BC2BFF"/>
    <w:rsid w:val="00BC5BAA"/>
    <w:rsid w:val="00BD0AF8"/>
    <w:rsid w:val="00BD1ECC"/>
    <w:rsid w:val="00BD2E53"/>
    <w:rsid w:val="00BD74B8"/>
    <w:rsid w:val="00BE019D"/>
    <w:rsid w:val="00BE107E"/>
    <w:rsid w:val="00BE11F1"/>
    <w:rsid w:val="00BE1EDA"/>
    <w:rsid w:val="00BE2BCE"/>
    <w:rsid w:val="00BE2CE7"/>
    <w:rsid w:val="00BE62D6"/>
    <w:rsid w:val="00BE69D0"/>
    <w:rsid w:val="00BE6B62"/>
    <w:rsid w:val="00BE6D9F"/>
    <w:rsid w:val="00BF47C2"/>
    <w:rsid w:val="00BF55A6"/>
    <w:rsid w:val="00C001B7"/>
    <w:rsid w:val="00C022AD"/>
    <w:rsid w:val="00C036F4"/>
    <w:rsid w:val="00C06E64"/>
    <w:rsid w:val="00C10E75"/>
    <w:rsid w:val="00C123FA"/>
    <w:rsid w:val="00C125C8"/>
    <w:rsid w:val="00C131C3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29EF"/>
    <w:rsid w:val="00C33F59"/>
    <w:rsid w:val="00C34559"/>
    <w:rsid w:val="00C36BC9"/>
    <w:rsid w:val="00C404FA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A6"/>
    <w:rsid w:val="00C621EB"/>
    <w:rsid w:val="00C62348"/>
    <w:rsid w:val="00C62F72"/>
    <w:rsid w:val="00C6448A"/>
    <w:rsid w:val="00C6496C"/>
    <w:rsid w:val="00C65063"/>
    <w:rsid w:val="00C659F8"/>
    <w:rsid w:val="00C7073B"/>
    <w:rsid w:val="00C70DCD"/>
    <w:rsid w:val="00C71FD1"/>
    <w:rsid w:val="00C756C2"/>
    <w:rsid w:val="00C76FC4"/>
    <w:rsid w:val="00C819E2"/>
    <w:rsid w:val="00C856BD"/>
    <w:rsid w:val="00C87EC3"/>
    <w:rsid w:val="00C90410"/>
    <w:rsid w:val="00C906C3"/>
    <w:rsid w:val="00C93C91"/>
    <w:rsid w:val="00C95645"/>
    <w:rsid w:val="00C97390"/>
    <w:rsid w:val="00CA121A"/>
    <w:rsid w:val="00CA18C0"/>
    <w:rsid w:val="00CA29C2"/>
    <w:rsid w:val="00CA2E47"/>
    <w:rsid w:val="00CA3254"/>
    <w:rsid w:val="00CA6B9D"/>
    <w:rsid w:val="00CB0445"/>
    <w:rsid w:val="00CB28CF"/>
    <w:rsid w:val="00CB3BC2"/>
    <w:rsid w:val="00CB44CF"/>
    <w:rsid w:val="00CB4E53"/>
    <w:rsid w:val="00CB6014"/>
    <w:rsid w:val="00CB71DD"/>
    <w:rsid w:val="00CB7694"/>
    <w:rsid w:val="00CC0370"/>
    <w:rsid w:val="00CC1F33"/>
    <w:rsid w:val="00CC2202"/>
    <w:rsid w:val="00CC239C"/>
    <w:rsid w:val="00CC53BB"/>
    <w:rsid w:val="00CC5E8C"/>
    <w:rsid w:val="00CC5F1D"/>
    <w:rsid w:val="00CD2302"/>
    <w:rsid w:val="00CD249A"/>
    <w:rsid w:val="00CD26F6"/>
    <w:rsid w:val="00CD3636"/>
    <w:rsid w:val="00CD4F37"/>
    <w:rsid w:val="00CD5FDF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3D6F"/>
    <w:rsid w:val="00CF4E6B"/>
    <w:rsid w:val="00CF548A"/>
    <w:rsid w:val="00CF5876"/>
    <w:rsid w:val="00CF7A0D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3E8B"/>
    <w:rsid w:val="00D13FBD"/>
    <w:rsid w:val="00D14A96"/>
    <w:rsid w:val="00D21C68"/>
    <w:rsid w:val="00D24070"/>
    <w:rsid w:val="00D25077"/>
    <w:rsid w:val="00D265D9"/>
    <w:rsid w:val="00D30DB8"/>
    <w:rsid w:val="00D31E30"/>
    <w:rsid w:val="00D32738"/>
    <w:rsid w:val="00D34640"/>
    <w:rsid w:val="00D40DF8"/>
    <w:rsid w:val="00D412A6"/>
    <w:rsid w:val="00D412DB"/>
    <w:rsid w:val="00D443CB"/>
    <w:rsid w:val="00D464AC"/>
    <w:rsid w:val="00D50564"/>
    <w:rsid w:val="00D50A88"/>
    <w:rsid w:val="00D51336"/>
    <w:rsid w:val="00D516B1"/>
    <w:rsid w:val="00D52C16"/>
    <w:rsid w:val="00D53286"/>
    <w:rsid w:val="00D54C2A"/>
    <w:rsid w:val="00D55CF9"/>
    <w:rsid w:val="00D627A5"/>
    <w:rsid w:val="00D63119"/>
    <w:rsid w:val="00D64BCF"/>
    <w:rsid w:val="00D64EC1"/>
    <w:rsid w:val="00D66213"/>
    <w:rsid w:val="00D6776C"/>
    <w:rsid w:val="00D7372F"/>
    <w:rsid w:val="00D752E0"/>
    <w:rsid w:val="00D80939"/>
    <w:rsid w:val="00D82A89"/>
    <w:rsid w:val="00D82B6F"/>
    <w:rsid w:val="00D87277"/>
    <w:rsid w:val="00D90E9B"/>
    <w:rsid w:val="00D92E26"/>
    <w:rsid w:val="00D93693"/>
    <w:rsid w:val="00D943E5"/>
    <w:rsid w:val="00D97527"/>
    <w:rsid w:val="00DA1690"/>
    <w:rsid w:val="00DA1A06"/>
    <w:rsid w:val="00DA27E1"/>
    <w:rsid w:val="00DA284A"/>
    <w:rsid w:val="00DA53FC"/>
    <w:rsid w:val="00DA7D71"/>
    <w:rsid w:val="00DB06DB"/>
    <w:rsid w:val="00DB08C3"/>
    <w:rsid w:val="00DB3976"/>
    <w:rsid w:val="00DB3E4D"/>
    <w:rsid w:val="00DB40B8"/>
    <w:rsid w:val="00DB4DA6"/>
    <w:rsid w:val="00DB6716"/>
    <w:rsid w:val="00DC09BF"/>
    <w:rsid w:val="00DC0FA3"/>
    <w:rsid w:val="00DC14EF"/>
    <w:rsid w:val="00DC4F2E"/>
    <w:rsid w:val="00DC653B"/>
    <w:rsid w:val="00DC7837"/>
    <w:rsid w:val="00DD037A"/>
    <w:rsid w:val="00DD05DC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1F63"/>
    <w:rsid w:val="00DF39C7"/>
    <w:rsid w:val="00DF6E9B"/>
    <w:rsid w:val="00DF7518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4AF"/>
    <w:rsid w:val="00E07F10"/>
    <w:rsid w:val="00E10939"/>
    <w:rsid w:val="00E11B5B"/>
    <w:rsid w:val="00E1269B"/>
    <w:rsid w:val="00E14BE6"/>
    <w:rsid w:val="00E15502"/>
    <w:rsid w:val="00E15BA7"/>
    <w:rsid w:val="00E1705B"/>
    <w:rsid w:val="00E21745"/>
    <w:rsid w:val="00E277CB"/>
    <w:rsid w:val="00E27DE3"/>
    <w:rsid w:val="00E30079"/>
    <w:rsid w:val="00E301C0"/>
    <w:rsid w:val="00E30ABA"/>
    <w:rsid w:val="00E32F57"/>
    <w:rsid w:val="00E36EBB"/>
    <w:rsid w:val="00E3767D"/>
    <w:rsid w:val="00E37D78"/>
    <w:rsid w:val="00E42AA9"/>
    <w:rsid w:val="00E42FE2"/>
    <w:rsid w:val="00E44087"/>
    <w:rsid w:val="00E45AE2"/>
    <w:rsid w:val="00E4629B"/>
    <w:rsid w:val="00E471B9"/>
    <w:rsid w:val="00E57739"/>
    <w:rsid w:val="00E6088F"/>
    <w:rsid w:val="00E62165"/>
    <w:rsid w:val="00E64B09"/>
    <w:rsid w:val="00E67586"/>
    <w:rsid w:val="00E70CF2"/>
    <w:rsid w:val="00E714F8"/>
    <w:rsid w:val="00E71743"/>
    <w:rsid w:val="00E7230C"/>
    <w:rsid w:val="00E74B87"/>
    <w:rsid w:val="00E77A80"/>
    <w:rsid w:val="00E77B19"/>
    <w:rsid w:val="00E80760"/>
    <w:rsid w:val="00E81AC1"/>
    <w:rsid w:val="00E81D35"/>
    <w:rsid w:val="00E8321C"/>
    <w:rsid w:val="00E84C94"/>
    <w:rsid w:val="00E91486"/>
    <w:rsid w:val="00E939E1"/>
    <w:rsid w:val="00E9413F"/>
    <w:rsid w:val="00E95776"/>
    <w:rsid w:val="00E97813"/>
    <w:rsid w:val="00EA1E36"/>
    <w:rsid w:val="00EA22D3"/>
    <w:rsid w:val="00EA4923"/>
    <w:rsid w:val="00EA782C"/>
    <w:rsid w:val="00EA7ECC"/>
    <w:rsid w:val="00EB0AD0"/>
    <w:rsid w:val="00EB0BCF"/>
    <w:rsid w:val="00EB1002"/>
    <w:rsid w:val="00EB22C5"/>
    <w:rsid w:val="00EB25F7"/>
    <w:rsid w:val="00EB2A2A"/>
    <w:rsid w:val="00EB3EE3"/>
    <w:rsid w:val="00EB6932"/>
    <w:rsid w:val="00EB6B00"/>
    <w:rsid w:val="00EC1464"/>
    <w:rsid w:val="00EC1CB6"/>
    <w:rsid w:val="00EC2F85"/>
    <w:rsid w:val="00EC46A1"/>
    <w:rsid w:val="00EC6521"/>
    <w:rsid w:val="00EC66F9"/>
    <w:rsid w:val="00EC71E4"/>
    <w:rsid w:val="00EC7888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5C4F"/>
    <w:rsid w:val="00EE5E91"/>
    <w:rsid w:val="00EE6674"/>
    <w:rsid w:val="00EE7913"/>
    <w:rsid w:val="00EF008C"/>
    <w:rsid w:val="00EF0F73"/>
    <w:rsid w:val="00EF1515"/>
    <w:rsid w:val="00EF2A9A"/>
    <w:rsid w:val="00EF2E03"/>
    <w:rsid w:val="00EF3CB0"/>
    <w:rsid w:val="00EF4899"/>
    <w:rsid w:val="00EF5FCB"/>
    <w:rsid w:val="00F02615"/>
    <w:rsid w:val="00F041F0"/>
    <w:rsid w:val="00F054A9"/>
    <w:rsid w:val="00F05866"/>
    <w:rsid w:val="00F060D7"/>
    <w:rsid w:val="00F07B15"/>
    <w:rsid w:val="00F10D66"/>
    <w:rsid w:val="00F138F9"/>
    <w:rsid w:val="00F1497E"/>
    <w:rsid w:val="00F14E46"/>
    <w:rsid w:val="00F1630F"/>
    <w:rsid w:val="00F1686E"/>
    <w:rsid w:val="00F20587"/>
    <w:rsid w:val="00F223BD"/>
    <w:rsid w:val="00F23042"/>
    <w:rsid w:val="00F24452"/>
    <w:rsid w:val="00F24FD8"/>
    <w:rsid w:val="00F259E5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52349"/>
    <w:rsid w:val="00F52721"/>
    <w:rsid w:val="00F5284E"/>
    <w:rsid w:val="00F552B1"/>
    <w:rsid w:val="00F56653"/>
    <w:rsid w:val="00F60D17"/>
    <w:rsid w:val="00F62742"/>
    <w:rsid w:val="00F64E6D"/>
    <w:rsid w:val="00F659E6"/>
    <w:rsid w:val="00F65D20"/>
    <w:rsid w:val="00F65ECB"/>
    <w:rsid w:val="00F6603A"/>
    <w:rsid w:val="00F70341"/>
    <w:rsid w:val="00F7306F"/>
    <w:rsid w:val="00F73256"/>
    <w:rsid w:val="00F7355F"/>
    <w:rsid w:val="00F73E21"/>
    <w:rsid w:val="00F74145"/>
    <w:rsid w:val="00F75A41"/>
    <w:rsid w:val="00F76F9F"/>
    <w:rsid w:val="00F81458"/>
    <w:rsid w:val="00F830AB"/>
    <w:rsid w:val="00F83BC4"/>
    <w:rsid w:val="00F85E50"/>
    <w:rsid w:val="00F9018A"/>
    <w:rsid w:val="00F91025"/>
    <w:rsid w:val="00F9230A"/>
    <w:rsid w:val="00F92B44"/>
    <w:rsid w:val="00F9574C"/>
    <w:rsid w:val="00F96A8C"/>
    <w:rsid w:val="00F97A22"/>
    <w:rsid w:val="00F97BE1"/>
    <w:rsid w:val="00F97F30"/>
    <w:rsid w:val="00FA062C"/>
    <w:rsid w:val="00FA1198"/>
    <w:rsid w:val="00FA15AE"/>
    <w:rsid w:val="00FA3330"/>
    <w:rsid w:val="00FA3647"/>
    <w:rsid w:val="00FB2968"/>
    <w:rsid w:val="00FB30B6"/>
    <w:rsid w:val="00FB5B61"/>
    <w:rsid w:val="00FB6B9C"/>
    <w:rsid w:val="00FC33BA"/>
    <w:rsid w:val="00FC3468"/>
    <w:rsid w:val="00FC56C7"/>
    <w:rsid w:val="00FC636C"/>
    <w:rsid w:val="00FD1568"/>
    <w:rsid w:val="00FD2AF5"/>
    <w:rsid w:val="00FD6CFC"/>
    <w:rsid w:val="00FE111D"/>
    <w:rsid w:val="00FE2462"/>
    <w:rsid w:val="00FE338F"/>
    <w:rsid w:val="00FE3CF8"/>
    <w:rsid w:val="00FE4F36"/>
    <w:rsid w:val="00FE6066"/>
    <w:rsid w:val="00FE64D2"/>
    <w:rsid w:val="00FE7A9D"/>
    <w:rsid w:val="00FE7DF0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7A5251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EDF3FD8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7E6F2BA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2C2632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086B12"/>
    <w:rsid w:val="531A9B97"/>
    <w:rsid w:val="53602527"/>
    <w:rsid w:val="53C5B6CA"/>
    <w:rsid w:val="54163B9D"/>
    <w:rsid w:val="541833D9"/>
    <w:rsid w:val="5485002A"/>
    <w:rsid w:val="54B1FEF3"/>
    <w:rsid w:val="54D793E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5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2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23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aliases w:val="Comment Reference"/>
    <w:basedOn w:val="Domylnaczcionkaakapitu"/>
    <w:uiPriority w:val="99"/>
    <w:semiHidden/>
    <w:rsid w:val="0047034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  <w:style w:type="character" w:customStyle="1" w:styleId="NagwekZnak">
    <w:name w:val="Nagłówek Znak"/>
    <w:basedOn w:val="Domylnaczcionkaakapitu"/>
    <w:uiPriority w:val="99"/>
    <w:semiHidden/>
    <w:rsid w:val="001E62B1"/>
    <w:rPr>
      <w:color w:val="2A295C" w:themeColor="text2"/>
      <w:sz w:val="14"/>
    </w:rPr>
  </w:style>
  <w:style w:type="character" w:customStyle="1" w:styleId="StopkaZnak">
    <w:name w:val="Stopka Znak"/>
    <w:basedOn w:val="Domylnaczcionkaakapitu"/>
    <w:uiPriority w:val="99"/>
    <w:semiHidden/>
    <w:rsid w:val="001E62B1"/>
    <w:rPr>
      <w:color w:val="9191AD" w:themeColor="accent3"/>
      <w:sz w:val="14"/>
    </w:rPr>
  </w:style>
  <w:style w:type="character" w:customStyle="1" w:styleId="TekstkomentarzaZnak">
    <w:name w:val="Tekst komentarza Znak"/>
    <w:basedOn w:val="Domylnaczcionkaakapitu"/>
    <w:uiPriority w:val="99"/>
    <w:semiHidden/>
    <w:rsid w:val="001E62B1"/>
    <w:rPr>
      <w:color w:val="2A295C" w:themeColor="text2"/>
    </w:rPr>
  </w:style>
  <w:style w:type="character" w:customStyle="1" w:styleId="TematkomentarzaZnak">
    <w:name w:val="Temat komentarza Znak"/>
    <w:basedOn w:val="TekstkomentarzaZnak"/>
    <w:uiPriority w:val="99"/>
    <w:semiHidden/>
    <w:rsid w:val="001E62B1"/>
    <w:rPr>
      <w:b/>
      <w:bCs/>
      <w:color w:val="2A295C" w:themeColor="text2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E62B1"/>
    <w:rPr>
      <w:color w:val="2A295C" w:themeColor="text2"/>
      <w:lang w:val="pl-PL"/>
    </w:rPr>
  </w:style>
  <w:style w:type="character" w:customStyle="1" w:styleId="ZwykytekstZnak">
    <w:name w:val="Zwykły tekst Znak"/>
    <w:basedOn w:val="Domylnaczcionkaakapitu"/>
    <w:uiPriority w:val="99"/>
    <w:semiHidden/>
    <w:rsid w:val="001E62B1"/>
    <w:rPr>
      <w:rFonts w:ascii="Consolas" w:hAnsi="Consolas"/>
      <w:color w:val="2A295C" w:themeColor="text2"/>
      <w:sz w:val="21"/>
      <w:szCs w:val="21"/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D0A23"/>
    <w:rPr>
      <w:color w:val="2A295C" w:themeColor="text2"/>
      <w:sz w:val="24"/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D0A23"/>
    <w:rPr>
      <w:color w:val="2A295C" w:themeColor="text2"/>
      <w:sz w:val="24"/>
      <w:lang w:val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NagwekZnak2">
    <w:name w:val="Nagłówek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character" w:customStyle="1" w:styleId="StopkaZnak2">
    <w:name w:val="Stopka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paragraph" w:styleId="Tekstkomentarza">
    <w:name w:val="annotation text"/>
    <w:basedOn w:val="Normalny"/>
    <w:link w:val="TekstkomentarzaZnak3"/>
    <w:uiPriority w:val="99"/>
    <w:semiHidden/>
    <w:rsid w:val="00A81442"/>
    <w:rPr>
      <w:sz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A81442"/>
    <w:rPr>
      <w:color w:val="2A295C" w:themeColor="text2"/>
      <w:lang w:val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81442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semiHidden/>
    <w:rsid w:val="00A81442"/>
    <w:rPr>
      <w:b/>
      <w:bCs/>
      <w:color w:val="2A295C" w:themeColor="text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dexo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tbysodexo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2026-05-22T12:21:00Z</dcterms:created>
  <dcterms:modified xsi:type="dcterms:W3CDTF">2026-07-16T09:27:00Z</dcterms:modified>
</cp:coreProperties>
</file>