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FBDD" w14:textId="77777777" w:rsidR="004E618D" w:rsidRPr="004E618D" w:rsidRDefault="004E618D" w:rsidP="004E618D">
      <w:pPr>
        <w:spacing w:after="160" w:line="278" w:lineRule="auto"/>
        <w:rPr>
          <w:rFonts w:ascii="Noto Sans" w:hAnsi="Noto Sans" w:cs="Noto Sans"/>
          <w:b/>
          <w:bCs/>
          <w:sz w:val="28"/>
          <w:szCs w:val="28"/>
        </w:rPr>
      </w:pPr>
      <w:r w:rsidRPr="004E618D">
        <w:rPr>
          <w:rFonts w:ascii="Noto Sans" w:hAnsi="Noto Sans" w:cs="Noto Sans"/>
          <w:b/>
          <w:bCs/>
          <w:sz w:val="28"/>
          <w:szCs w:val="28"/>
          <w:lang w:val="pt-PT"/>
        </w:rPr>
        <w:t>A ligação oculta entre a segurança alimentar e a redução de desperdício</w:t>
      </w:r>
    </w:p>
    <w:p w14:paraId="63822600" w14:textId="0A6F9C0B" w:rsidR="004E618D" w:rsidRPr="004E618D" w:rsidRDefault="004E618D" w:rsidP="004E618D">
      <w:pPr>
        <w:spacing w:after="160" w:line="278" w:lineRule="auto"/>
        <w:rPr>
          <w:rFonts w:ascii="Noto Sans" w:hAnsi="Noto Sans" w:cs="Noto Sans"/>
          <w:i/>
          <w:iCs/>
          <w:sz w:val="22"/>
        </w:rPr>
      </w:pPr>
      <w:r w:rsidRPr="004E618D">
        <w:rPr>
          <w:rFonts w:ascii="Noto Sans" w:hAnsi="Noto Sans" w:cs="Noto Sans"/>
          <w:i/>
          <w:iCs/>
          <w:sz w:val="22"/>
          <w:lang w:val="pt-PT"/>
        </w:rPr>
        <w:t xml:space="preserve">A segurança alimentar e a redução de desperdício estão a ficar estreitamente alinhadas à medida que os fabricantes de alimentos adotam a rastreabilidade, as embalagens interativas e os códigos códigos 2D baseados nos padrões da GS1 para proteger os consumidores e reduzir o desperdício, explica Jim Orford, Global Account Manager da </w:t>
      </w:r>
      <w:hyperlink r:id="rId6" w:history="1">
        <w:r w:rsidRPr="00617000">
          <w:rPr>
            <w:rStyle w:val="Hyperlink"/>
            <w:rFonts w:ascii="Noto Sans" w:hAnsi="Noto Sans" w:cs="Noto Sans"/>
            <w:i/>
            <w:iCs/>
            <w:sz w:val="22"/>
            <w:lang w:val="pt-PT"/>
          </w:rPr>
          <w:t>Domino Printing Sciences</w:t>
        </w:r>
      </w:hyperlink>
      <w:r w:rsidRPr="004E618D">
        <w:rPr>
          <w:rFonts w:ascii="Noto Sans" w:hAnsi="Noto Sans" w:cs="Noto Sans"/>
          <w:i/>
          <w:iCs/>
          <w:sz w:val="22"/>
          <w:lang w:val="pt-PT"/>
        </w:rPr>
        <w:t>.</w:t>
      </w:r>
    </w:p>
    <w:p w14:paraId="12F8AA3D"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Os fabricantes de alimentos têm uma longa tradição de compromisso com a segurança alimentar, apoiada por sistemas, auditorias e controlos desenvolvidos para proteger os consumidores. Apesar destas salvaguardas, as recolhas são muitas vezes necessárias para proteger a saúde pública em caso de um incidente de segurança alimentar. Inevitavelmente, quando ocorrem recolhas de alimentos, surge um problema secundário: o desperdício evitável.</w:t>
      </w:r>
    </w:p>
    <w:p w14:paraId="68A7B0A3"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 xml:space="preserve">A maioria deste desperdício resulta da incerteza. Sem rastreabilidade de produtos precisa ao nível do lote, as equipas de segurança alimentar são forçadas a tomar medidas de precaução. Os produtos produzidos no mesmo turno, linha ou dia podem ser retirados em conjunto, mesmo quando apenas um pequeno subconjunto é afetado. Embora esta precaução se justifique do ponto de vista da saúde pública, é totalmente ineficaz em termos de desperdício geral de produtos. </w:t>
      </w:r>
    </w:p>
    <w:p w14:paraId="04304C30" w14:textId="77777777" w:rsidR="004E618D" w:rsidRPr="004E618D" w:rsidRDefault="004E618D" w:rsidP="004E618D">
      <w:pPr>
        <w:spacing w:after="160" w:line="278" w:lineRule="auto"/>
        <w:rPr>
          <w:rFonts w:ascii="Noto Sans" w:hAnsi="Noto Sans" w:cs="Noto Sans"/>
          <w:b/>
          <w:bCs/>
          <w:sz w:val="22"/>
        </w:rPr>
      </w:pPr>
      <w:r w:rsidRPr="004E618D">
        <w:rPr>
          <w:rFonts w:ascii="Noto Sans" w:hAnsi="Noto Sans" w:cs="Noto Sans"/>
          <w:b/>
          <w:bCs/>
          <w:sz w:val="22"/>
          <w:lang w:val="pt-PT"/>
        </w:rPr>
        <w:t>A conformidade está a passar da documentação para a evidência</w:t>
      </w:r>
    </w:p>
    <w:p w14:paraId="4BE7814A" w14:textId="17871C16"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 xml:space="preserve">À medida que as metas de redução do desperdício alimentar se consolidam nos quadros regulamentares e de políticas públicas, este desequilíbrio já não passa despercebido. Os regulamentos modernos de segurança alimentar, incluindo a </w:t>
      </w:r>
      <w:hyperlink r:id="rId7" w:history="1">
        <w:r w:rsidRPr="00617000">
          <w:rPr>
            <w:rStyle w:val="Hyperlink"/>
            <w:rFonts w:ascii="Noto Sans" w:hAnsi="Noto Sans" w:cs="Noto Sans"/>
            <w:sz w:val="22"/>
            <w:lang w:val="pt-PT"/>
          </w:rPr>
          <w:t>Lei de Modernização da Segurança Alimentar (FSMA) nos EUA</w:t>
        </w:r>
      </w:hyperlink>
      <w:r w:rsidRPr="004E618D">
        <w:rPr>
          <w:rFonts w:ascii="Noto Sans" w:hAnsi="Noto Sans" w:cs="Noto Sans"/>
          <w:sz w:val="22"/>
          <w:lang w:val="pt-PT"/>
        </w:rPr>
        <w:t>, estão a transferir a ênfase para a rapidez e a granularidade. As autoridades querem saber não só se os alimentos podem ser rastreados, mas também com que rapidez os produtos afetados podem ser identificados e removidos da cadeia de abastecimento.</w:t>
      </w:r>
    </w:p>
    <w:p w14:paraId="0B57C209"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Com a mudança das expetativas regulamentares, os sistemas tradicionais de rastreabilidade já não são suficientes. Os registos em papel demonstram a conformidade após o evento. Existem controlos, mas rever toda a informação é um processo lento que exige muito esforço de mão-de-obra, além de ser difícil de conciliar entre vários parceiros em cadeias de abastecimento complexas.</w:t>
      </w:r>
    </w:p>
    <w:p w14:paraId="40BB980E" w14:textId="77777777" w:rsidR="004E618D" w:rsidRPr="004E618D" w:rsidRDefault="004E618D" w:rsidP="004E618D">
      <w:pPr>
        <w:spacing w:after="160" w:line="278" w:lineRule="auto"/>
        <w:rPr>
          <w:rFonts w:ascii="Noto Sans" w:hAnsi="Noto Sans" w:cs="Noto Sans"/>
          <w:b/>
          <w:bCs/>
          <w:sz w:val="22"/>
        </w:rPr>
      </w:pPr>
      <w:r w:rsidRPr="004E618D">
        <w:rPr>
          <w:rFonts w:ascii="Noto Sans" w:hAnsi="Noto Sans" w:cs="Noto Sans"/>
          <w:b/>
          <w:bCs/>
          <w:sz w:val="22"/>
          <w:lang w:val="pt-PT"/>
        </w:rPr>
        <w:lastRenderedPageBreak/>
        <w:t>Por que motivo os dados ao nível da embalagem são importantes</w:t>
      </w:r>
    </w:p>
    <w:p w14:paraId="77C5212E"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 xml:space="preserve">Uma rastreabilidade fiável exige informações precisas e acessíveis sobre o produto, a produção e o prazo de validade. Apesar de, historicamente, apenas uma fração desta informação estar acessível quando os produtos saíam da fábrica, a introdução de códigos 2D baseados nos padrões da GS1 nas embalagens de alimentos está a transformar a visibilidade em toda a cadeia de abastecimento. </w:t>
      </w:r>
    </w:p>
    <w:p w14:paraId="6096E895"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 xml:space="preserve">Com embalagens de alimentos interativas, os fabricantes podem associar cada embalagem a dados de rastreabilidade estruturados e baseados em normas, que permanecem acessíveis ao longo do ciclo de vida de um produto. </w:t>
      </w:r>
    </w:p>
    <w:p w14:paraId="1865742C"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Quando surgem questões de segurança, dados mais claros ao nível da embalagem permitem um processo de recolha de alimentos mais rápido e eficaz. Os fabricantes podem confirmar rapidamente os produtos específicos afetados. O número de artigos retirados é limitado apenas aos incluídos nos lotes comprometidos, assegurando que alimentos de boa qualidade não são desnecessariamente desperdiçados. Para os retalhistas, esta rastreabilidade melhorada reduz o tempo e o custo associados à remoção de alimentos seguros dos pontos de venda.</w:t>
      </w:r>
    </w:p>
    <w:p w14:paraId="07267FE0" w14:textId="77777777" w:rsidR="004E618D" w:rsidRPr="004E618D" w:rsidRDefault="004E618D" w:rsidP="004E618D">
      <w:pPr>
        <w:spacing w:after="160" w:line="278" w:lineRule="auto"/>
        <w:rPr>
          <w:rFonts w:ascii="Noto Sans" w:hAnsi="Noto Sans" w:cs="Noto Sans"/>
          <w:b/>
          <w:bCs/>
          <w:sz w:val="22"/>
        </w:rPr>
      </w:pPr>
      <w:r w:rsidRPr="004E618D">
        <w:rPr>
          <w:rFonts w:ascii="Noto Sans" w:hAnsi="Noto Sans" w:cs="Noto Sans"/>
          <w:b/>
          <w:bCs/>
          <w:sz w:val="22"/>
          <w:lang w:val="pt-PT"/>
        </w:rPr>
        <w:t>Frescura, segurança e timing</w:t>
      </w:r>
    </w:p>
    <w:p w14:paraId="6B045737"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As embalagens interativas equipadas com códigos 2D podem também transformar a forma como os alimentos são geridos ao longo da cadeia de abastecimento, muito antes de surgirem problemas de segurança. Os alimentos que permanecem demasiado tempo nas cadeias de distribuição ou retalho podem representar riscos de segurança, bem como aumentar o desperdício.</w:t>
      </w:r>
    </w:p>
    <w:p w14:paraId="2092C494" w14:textId="29061F3A"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 xml:space="preserve">O acesso a informações precisas e standardizadas sobre o prazo de validade e a produção pode ajudar os parceiros da cadeia de abastecimento a gerir o stock de forma mais eficaz. Os retalhistas podem melhorar a gestão de stocks, utilizando </w:t>
      </w:r>
      <w:hyperlink r:id="rId8" w:history="1">
        <w:r w:rsidRPr="00617000">
          <w:rPr>
            <w:rStyle w:val="Hyperlink"/>
            <w:rFonts w:ascii="Noto Sans" w:hAnsi="Noto Sans" w:cs="Noto Sans"/>
            <w:sz w:val="22"/>
            <w:lang w:val="pt-PT"/>
          </w:rPr>
          <w:t>preços dinâmicos nas lojas</w:t>
        </w:r>
      </w:hyperlink>
      <w:r w:rsidRPr="004E618D">
        <w:rPr>
          <w:rFonts w:ascii="Noto Sans" w:hAnsi="Noto Sans" w:cs="Noto Sans"/>
          <w:sz w:val="22"/>
          <w:lang w:val="pt-PT"/>
        </w:rPr>
        <w:t>, por exemplo, para oferecer descontos de preço para os produtos antes de expirarem. Os mesmos protocolos podem ser utilizados para garantir que os produtos lidos no ponto de venda são assinalados se estiverem fora de prazo ou forem recolhidos, evitando a venda não intencional de produtos alimentares inseguros. Isto reforça os controlos de segurança alimentar, ao mesmo tempo que se alinha com os objetivos de prevenção do desperdício.</w:t>
      </w:r>
    </w:p>
    <w:p w14:paraId="398C3550" w14:textId="77777777" w:rsidR="004E618D" w:rsidRPr="004E618D" w:rsidRDefault="004E618D" w:rsidP="004E618D">
      <w:pPr>
        <w:spacing w:after="160" w:line="278" w:lineRule="auto"/>
        <w:rPr>
          <w:rFonts w:ascii="Noto Sans" w:hAnsi="Noto Sans" w:cs="Noto Sans"/>
          <w:b/>
          <w:bCs/>
          <w:sz w:val="22"/>
        </w:rPr>
      </w:pPr>
      <w:r w:rsidRPr="004E618D">
        <w:rPr>
          <w:rFonts w:ascii="Noto Sans" w:hAnsi="Noto Sans" w:cs="Noto Sans"/>
          <w:b/>
          <w:bCs/>
          <w:sz w:val="22"/>
          <w:lang w:val="pt-PT"/>
        </w:rPr>
        <w:t>Uma visão sistematizada da responsabilidade</w:t>
      </w:r>
    </w:p>
    <w:p w14:paraId="52E605D8"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lastRenderedPageBreak/>
        <w:t>Esta mudança, ao passar a considerar o desperdício alimentar em conjunto com a segurança, representa uma alteração importante na intenção. A utilização do código 2D GS1 está a emergir como parte de uma transição mais ampla para a utilização de dados interoperáveis e fiáveis em todos os sistemas alimentares.</w:t>
      </w:r>
    </w:p>
    <w:p w14:paraId="5D7B09C2"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Para os fabricantes, a capacidade de melhorar a precisão da recolha tem vantagens de longo alcance. Para além de reduzir o desperdício desnecessário de alimentos sem incorrer em riscos adicionais, a capacidade de demonstrar uma maior conformidade com as normas de segurança alimentar aumenta a confiança, tanto dos retalhistas como dos reguladores.</w:t>
      </w:r>
    </w:p>
    <w:p w14:paraId="54322C98"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É importante salientar que isto não implica substituir os sistemas existentes nem iniciar uma transformação total. Trata-se de reforçar a associação entre a segurança alimentar e a redução de desperdício, melhorando a forma como a informação é partilhada e utilizada.</w:t>
      </w:r>
    </w:p>
    <w:p w14:paraId="23E5AA3F" w14:textId="77777777" w:rsidR="004E618D" w:rsidRPr="004E618D" w:rsidRDefault="004E618D" w:rsidP="004E618D">
      <w:pPr>
        <w:spacing w:after="160" w:line="278" w:lineRule="auto"/>
        <w:rPr>
          <w:rFonts w:ascii="Noto Sans" w:hAnsi="Noto Sans" w:cs="Noto Sans"/>
          <w:b/>
          <w:bCs/>
          <w:sz w:val="22"/>
        </w:rPr>
      </w:pPr>
      <w:r w:rsidRPr="004E618D">
        <w:rPr>
          <w:rFonts w:ascii="Noto Sans" w:hAnsi="Noto Sans" w:cs="Noto Sans"/>
          <w:b/>
          <w:bCs/>
          <w:sz w:val="22"/>
          <w:lang w:val="pt-PT"/>
        </w:rPr>
        <w:t>Perspetivas futuras</w:t>
      </w:r>
    </w:p>
    <w:p w14:paraId="3CC1035C" w14:textId="77777777"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Com o aumento das expetativas, os fabricantes serão avaliados não apenas pela forma como respondem a incidentes de segurança alimentar, mas também pela rapidez e eficiência dessa resposta. A utilização de códigos 2D baseados nos padrões da GS1 permite aos fabricantes demonstrar um processo de recolha de alimentos baseado em evidências. Apoia as metas de redução de desperdício sem comprometer a proteção dos consumidores. Com melhores dados ao nível da embalagem, partilhados através de normas fiáveis, os fabricantes podem criar uma abordagem precisa, metódica e fiável às recolhas de alimentos que reforce a segurança e, ao mesmo tempo, reduza significativamente o desperdício alimentar.</w:t>
      </w:r>
    </w:p>
    <w:p w14:paraId="525A522C" w14:textId="77777777" w:rsidR="00617000" w:rsidRDefault="00617000" w:rsidP="004E618D">
      <w:pPr>
        <w:spacing w:after="160" w:line="278" w:lineRule="auto"/>
        <w:rPr>
          <w:rFonts w:ascii="Noto Sans" w:hAnsi="Noto Sans" w:cs="Noto Sans"/>
          <w:sz w:val="22"/>
          <w:lang w:val="pt-PT"/>
        </w:rPr>
      </w:pPr>
    </w:p>
    <w:p w14:paraId="53AABD68" w14:textId="2F184D4D" w:rsidR="004E618D" w:rsidRPr="004E618D" w:rsidRDefault="004E618D" w:rsidP="004E618D">
      <w:pPr>
        <w:spacing w:after="160" w:line="278" w:lineRule="auto"/>
        <w:rPr>
          <w:rFonts w:ascii="Noto Sans" w:hAnsi="Noto Sans" w:cs="Noto Sans"/>
          <w:sz w:val="22"/>
        </w:rPr>
      </w:pPr>
      <w:r w:rsidRPr="004E618D">
        <w:rPr>
          <w:rFonts w:ascii="Noto Sans" w:hAnsi="Noto Sans" w:cs="Noto Sans"/>
          <w:sz w:val="22"/>
          <w:lang w:val="pt-PT"/>
        </w:rPr>
        <w:t>&lt;</w:t>
      </w:r>
      <w:r w:rsidRPr="004E618D">
        <w:rPr>
          <w:rFonts w:ascii="Noto Sans" w:hAnsi="Noto Sans" w:cs="Noto Sans"/>
          <w:b/>
          <w:bCs/>
          <w:sz w:val="22"/>
          <w:lang w:val="pt-PT"/>
        </w:rPr>
        <w:t>FIM</w:t>
      </w:r>
      <w:r w:rsidRPr="004E618D">
        <w:rPr>
          <w:rFonts w:ascii="Noto Sans" w:hAnsi="Noto Sans" w:cs="Noto Sans"/>
          <w:sz w:val="22"/>
          <w:lang w:val="pt-PT"/>
        </w:rPr>
        <w:t>&gt;</w:t>
      </w:r>
    </w:p>
    <w:p w14:paraId="7DDD3015" w14:textId="77777777" w:rsidR="00617000" w:rsidRDefault="00617000" w:rsidP="004E618D">
      <w:pPr>
        <w:spacing w:line="240" w:lineRule="auto"/>
        <w:rPr>
          <w:rFonts w:ascii="Noto Sans" w:hAnsi="Noto Sans" w:cs="Noto Sans"/>
          <w:b/>
          <w:bCs/>
          <w:sz w:val="20"/>
          <w:szCs w:val="20"/>
          <w:lang w:val="pt"/>
        </w:rPr>
      </w:pPr>
      <w:bookmarkStart w:id="0" w:name="_Hlk531088985"/>
      <w:bookmarkStart w:id="1" w:name="_Hlk61949672"/>
    </w:p>
    <w:p w14:paraId="45F04F20" w14:textId="77777777" w:rsidR="00617000" w:rsidRDefault="00617000" w:rsidP="004E618D">
      <w:pPr>
        <w:spacing w:line="240" w:lineRule="auto"/>
        <w:rPr>
          <w:rFonts w:ascii="Noto Sans" w:hAnsi="Noto Sans" w:cs="Noto Sans"/>
          <w:b/>
          <w:bCs/>
          <w:sz w:val="20"/>
          <w:szCs w:val="20"/>
          <w:lang w:val="pt"/>
        </w:rPr>
      </w:pPr>
    </w:p>
    <w:p w14:paraId="643889A7" w14:textId="298A9E86" w:rsidR="004E618D" w:rsidRPr="002B23C7" w:rsidRDefault="004E618D" w:rsidP="004E618D">
      <w:pPr>
        <w:spacing w:line="240" w:lineRule="auto"/>
        <w:rPr>
          <w:rFonts w:ascii="Noto Sans" w:eastAsiaTheme="minorHAnsi" w:hAnsi="Noto Sans" w:cs="Noto Sans"/>
          <w:sz w:val="22"/>
          <w:lang w:val="pt-PT"/>
        </w:rPr>
      </w:pPr>
      <w:r w:rsidRPr="002856FD">
        <w:rPr>
          <w:rFonts w:ascii="Noto Sans" w:hAnsi="Noto Sans" w:cs="Noto Sans"/>
          <w:b/>
          <w:bCs/>
          <w:sz w:val="20"/>
          <w:szCs w:val="20"/>
          <w:lang w:val="pt"/>
        </w:rPr>
        <w:t>Isenção de responsabilidade</w:t>
      </w:r>
      <w:bookmarkEnd w:id="0"/>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Tintas</w:t>
      </w:r>
      <w:r w:rsidRPr="002856FD">
        <w:rPr>
          <w:rFonts w:ascii="Noto Sans" w:hAnsi="Noto Sans" w:cs="Noto Sans"/>
          <w:sz w:val="20"/>
          <w:szCs w:val="20"/>
          <w:lang w:val="pt"/>
        </w:rPr>
        <w:br/>
        <w:t xml:space="preserve">As informações que se encontram no presente documento não devem substituir a realização dos testes adequados às suas circunstâncias e usos específicos. A Domino Portugal – Tecnologias de Codificação, S.A. e as empresas do grupo Domino não serão, de forma alguma, responsáveis por qualquer tipo de confiança depositada neste documento em relação à </w:t>
      </w:r>
      <w:r w:rsidRPr="002856FD">
        <w:rPr>
          <w:rFonts w:ascii="Noto Sans" w:hAnsi="Noto Sans" w:cs="Noto Sans"/>
          <w:sz w:val="20"/>
          <w:szCs w:val="20"/>
          <w:lang w:val="pt"/>
        </w:rPr>
        <w:lastRenderedPageBreak/>
        <w:t xml:space="preserve">adequação de qualquer uma das nossas tintas à sua aplicação em particular. O presente documento não faz parte de quaisquer termos e condições celebrados entre si e a Domino Portugal. Exclusões de responsabilidade v.1.0 Fevereiro 2018. Os Termos e Condições de venda da Domino, em particular as garantias e responsabilidades presentes nos mesmos, dever-se-ão aplicar a qualquer uma das suas compras de produtos.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Geral</w:t>
      </w:r>
      <w:r w:rsidRPr="002856FD">
        <w:rPr>
          <w:rFonts w:ascii="Noto Sans" w:hAnsi="Noto Sans" w:cs="Noto Sans"/>
          <w:sz w:val="20"/>
          <w:szCs w:val="20"/>
          <w:lang w:val="pt"/>
        </w:rPr>
        <w:br/>
        <w:t xml:space="preserve">As informações constantes no presente comunicado de imprensa são consideradas verdadeiras e corretas à data da publicação pela Domino. Qualquer alteração verificada após a data da publicação pode afetar a exatidão destas informações. Todos os valores em termos de desempenho e alegações citados no presente documento foram obtidos sob condições específicas e apenas poderão ser repetidos sob condições semelhantes. Para obter detalhes específicos do produto, deve entrar em contacto com o seu Account Manager da Domino Portugal. O presente documento não faz parte de quaisquer termos e condições celebrados entre si e a Domino Portugal.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Imagens</w:t>
      </w:r>
      <w:r w:rsidRPr="002856FD">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Vídeos</w:t>
      </w:r>
      <w:r w:rsidRPr="002856FD">
        <w:rPr>
          <w:rFonts w:ascii="Noto Sans" w:hAnsi="Noto Sans" w:cs="Noto Sans"/>
          <w:sz w:val="20"/>
          <w:szCs w:val="20"/>
          <w:lang w:val="pt"/>
        </w:rPr>
        <w:b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 Portugal.</w:t>
      </w:r>
      <w:r w:rsidRPr="002856FD">
        <w:rPr>
          <w:rFonts w:ascii="Noto Sans" w:eastAsia="Gill Sans" w:hAnsi="Noto Sans" w:cs="Noto Sans"/>
          <w:sz w:val="20"/>
          <w:szCs w:val="20"/>
          <w:lang w:val="es-ES"/>
        </w:rPr>
        <w:br/>
      </w:r>
      <w:r w:rsidRPr="002E0B38">
        <w:rPr>
          <w:rFonts w:ascii="Noto Sans" w:eastAsia="Gill Sans" w:hAnsi="Noto Sans" w:cs="Noto Sans"/>
          <w:b/>
          <w:sz w:val="20"/>
          <w:szCs w:val="20"/>
          <w:lang w:val="es-ES"/>
        </w:rPr>
        <w:br/>
      </w:r>
      <w:r w:rsidRPr="002E0B38">
        <w:rPr>
          <w:rFonts w:ascii="Noto Sans" w:eastAsia="Gill Sans" w:hAnsi="Noto Sans" w:cs="Noto Sans"/>
          <w:b/>
          <w:bCs/>
          <w:sz w:val="20"/>
          <w:szCs w:val="20"/>
          <w:lang w:val="pt-PT"/>
        </w:rPr>
        <w:t>Notas para os editores:</w:t>
      </w:r>
      <w:r w:rsidRPr="002E0B38">
        <w:rPr>
          <w:rFonts w:ascii="Noto Sans" w:eastAsia="Gill Sans" w:hAnsi="Noto Sans" w:cs="Noto Sans"/>
          <w:b/>
          <w:sz w:val="20"/>
          <w:szCs w:val="20"/>
          <w:lang w:val="es-ES"/>
        </w:rPr>
        <w:br/>
      </w:r>
      <w:r w:rsidRPr="002E0B38">
        <w:rPr>
          <w:rFonts w:ascii="Noto Sans" w:eastAsia="Gill Sans" w:hAnsi="Noto Sans" w:cs="Noto Sans"/>
          <w:sz w:val="20"/>
          <w:szCs w:val="20"/>
          <w:lang w:val="es-ES"/>
        </w:rPr>
        <w:br/>
      </w:r>
      <w:r w:rsidRPr="002856FD">
        <w:rPr>
          <w:rFonts w:ascii="Noto Sans" w:hAnsi="Noto Sans" w:cs="Noto Sans"/>
          <w:b/>
          <w:bCs/>
          <w:color w:val="000000" w:themeColor="text1"/>
          <w:sz w:val="20"/>
          <w:szCs w:val="20"/>
          <w:lang w:val="pt"/>
        </w:rPr>
        <w:t>Acerca da Domino</w:t>
      </w:r>
      <w:r>
        <w:rPr>
          <w:rFonts w:ascii="Noto Sans" w:hAnsi="Noto Sans" w:cs="Noto Sans"/>
          <w:b/>
          <w:bCs/>
          <w:color w:val="000000" w:themeColor="text1"/>
          <w:sz w:val="20"/>
          <w:szCs w:val="20"/>
          <w:lang w:val="pt"/>
        </w:rPr>
        <w:br/>
      </w:r>
      <w:r w:rsidRPr="002856FD">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Pr="002856FD">
        <w:rPr>
          <w:rFonts w:ascii="Noto Sans" w:hAnsi="Noto Sans" w:cs="Noto Sans"/>
          <w:sz w:val="20"/>
          <w:szCs w:val="20"/>
          <w:lang w:val="pt"/>
        </w:rPr>
        <w:br/>
      </w:r>
      <w:r w:rsidRPr="002856FD">
        <w:rPr>
          <w:rFonts w:ascii="Noto Sans" w:hAnsi="Noto Sans" w:cs="Noto Sans"/>
          <w:sz w:val="20"/>
          <w:szCs w:val="20"/>
          <w:lang w:val="pt"/>
        </w:rPr>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Pr="002856FD">
        <w:rPr>
          <w:rFonts w:ascii="Noto Sans" w:hAnsi="Noto Sans" w:cs="Noto Sans"/>
          <w:sz w:val="20"/>
          <w:szCs w:val="20"/>
          <w:lang w:val="pt"/>
        </w:rPr>
        <w:br/>
      </w:r>
      <w:r w:rsidRPr="002856FD">
        <w:rPr>
          <w:rFonts w:ascii="Noto Sans" w:hAnsi="Noto Sans" w:cs="Noto Sans"/>
          <w:sz w:val="20"/>
          <w:szCs w:val="20"/>
          <w:lang w:val="pt"/>
        </w:rPr>
        <w:lastRenderedPageBreak/>
        <w:br/>
        <w:t xml:space="preserve">A Domino tornou-se uma divisão independente da Brother Industries Ltd. a 11 de junho de 2015. </w:t>
      </w:r>
      <w:r w:rsidRPr="002856FD">
        <w:rPr>
          <w:rFonts w:ascii="Noto Sans" w:hAnsi="Noto Sans" w:cs="Noto Sans"/>
          <w:sz w:val="20"/>
          <w:szCs w:val="20"/>
          <w:lang w:val="pt"/>
        </w:rPr>
        <w:br/>
      </w:r>
      <w:r w:rsidRPr="002856FD">
        <w:rPr>
          <w:rFonts w:ascii="Noto Sans" w:hAnsi="Noto Sans" w:cs="Noto Sans"/>
          <w:sz w:val="20"/>
          <w:szCs w:val="20"/>
          <w:lang w:val="pt"/>
        </w:rPr>
        <w:br/>
        <w:t>Para obter mais informações sobre a Domino,</w:t>
      </w:r>
      <w:r w:rsidRPr="002856FD">
        <w:rPr>
          <w:rFonts w:ascii="Noto Sans" w:hAnsi="Noto Sans" w:cs="Noto Sans"/>
          <w:sz w:val="20"/>
          <w:szCs w:val="20"/>
          <w:lang w:val="pt"/>
        </w:rPr>
        <w:br/>
        <w:t xml:space="preserve">visite </w:t>
      </w:r>
      <w:hyperlink r:id="rId9" w:history="1">
        <w:r w:rsidRPr="002856FD">
          <w:rPr>
            <w:rStyle w:val="Hyperlink"/>
            <w:rFonts w:ascii="Noto Sans" w:hAnsi="Noto Sans" w:cs="Noto Sans"/>
            <w:sz w:val="20"/>
            <w:szCs w:val="20"/>
            <w:lang w:val="pt"/>
          </w:rPr>
          <w:t>www.domino-printing.com</w:t>
        </w:r>
      </w:hyperlink>
      <w:r w:rsidRPr="002856FD">
        <w:rPr>
          <w:rFonts w:ascii="Noto Sans" w:hAnsi="Noto Sans" w:cs="Noto Sans"/>
          <w:sz w:val="20"/>
          <w:szCs w:val="20"/>
          <w:lang w:val="pt"/>
        </w:rPr>
        <w:t xml:space="preserve"> </w:t>
      </w:r>
      <w:r w:rsidRPr="002856FD">
        <w:rPr>
          <w:rFonts w:ascii="Noto Sans" w:hAnsi="Noto Sans" w:cs="Noto Sans"/>
          <w:sz w:val="20"/>
          <w:szCs w:val="20"/>
          <w:lang w:val="pt"/>
        </w:rPr>
        <w:br/>
      </w:r>
      <w:r w:rsidRPr="002856FD">
        <w:rPr>
          <w:rFonts w:ascii="Noto Sans" w:hAnsi="Noto Sans" w:cs="Noto Sans"/>
          <w:sz w:val="20"/>
          <w:szCs w:val="20"/>
          <w:lang w:val="pt"/>
        </w:rPr>
        <w:br/>
      </w:r>
      <w:r w:rsidRPr="002856FD">
        <w:rPr>
          <w:rFonts w:ascii="Noto Sans" w:hAnsi="Noto Sans" w:cs="Noto Sans"/>
          <w:b/>
          <w:bCs/>
          <w:sz w:val="20"/>
          <w:szCs w:val="20"/>
          <w:lang w:val="pt"/>
        </w:rPr>
        <w:t>Deverá contactar:</w:t>
      </w:r>
      <w:r w:rsidRPr="002856FD">
        <w:rPr>
          <w:rFonts w:ascii="Noto Sans" w:hAnsi="Noto Sans" w:cs="Noto Sans"/>
          <w:sz w:val="20"/>
          <w:szCs w:val="20"/>
          <w:lang w:val="pt"/>
        </w:rPr>
        <w:br/>
      </w:r>
      <w:r w:rsidRPr="002856FD">
        <w:rPr>
          <w:rFonts w:ascii="Noto Sans" w:hAnsi="Noto Sans" w:cs="Noto Sans"/>
          <w:sz w:val="20"/>
          <w:szCs w:val="20"/>
          <w:lang w:val="pt"/>
        </w:rPr>
        <w:br/>
      </w:r>
      <w:r w:rsidRPr="0085521E">
        <w:rPr>
          <w:rFonts w:ascii="Noto Sans" w:hAnsi="Noto Sans" w:cs="Noto Sans"/>
          <w:sz w:val="20"/>
          <w:szCs w:val="20"/>
          <w:lang w:val="pt"/>
        </w:rPr>
        <w:t>Jade Taylor-Salazar</w:t>
      </w:r>
      <w:r>
        <w:rPr>
          <w:rFonts w:ascii="Noto Sans" w:hAnsi="Noto Sans" w:cs="Noto Sans"/>
          <w:sz w:val="20"/>
          <w:szCs w:val="20"/>
          <w:lang w:val="pt"/>
        </w:rPr>
        <w:br/>
      </w:r>
      <w:r w:rsidRPr="002856FD">
        <w:rPr>
          <w:rFonts w:ascii="Noto Sans" w:hAnsi="Noto Sans" w:cs="Noto Sans"/>
          <w:sz w:val="20"/>
          <w:szCs w:val="20"/>
          <w:lang w:val="pt"/>
        </w:rPr>
        <w:t xml:space="preserve">PR and Content Manager </w:t>
      </w:r>
      <w:r w:rsidRPr="002856FD">
        <w:rPr>
          <w:rFonts w:ascii="Noto Sans" w:hAnsi="Noto Sans" w:cs="Noto Sans"/>
          <w:sz w:val="20"/>
          <w:szCs w:val="20"/>
          <w:lang w:val="pt"/>
        </w:rPr>
        <w:br/>
        <w:t xml:space="preserve">Domino Printing Sciences </w:t>
      </w:r>
      <w:r w:rsidRPr="002856FD">
        <w:rPr>
          <w:rFonts w:ascii="Noto Sans" w:hAnsi="Noto Sans" w:cs="Noto Sans"/>
          <w:sz w:val="20"/>
          <w:szCs w:val="20"/>
          <w:lang w:val="pt"/>
        </w:rPr>
        <w:br/>
        <w:t>Tel.: +44 (0) 1954 778 780</w:t>
      </w:r>
      <w:r w:rsidRPr="002856FD">
        <w:rPr>
          <w:rFonts w:ascii="Noto Sans" w:hAnsi="Noto Sans" w:cs="Noto Sans"/>
          <w:sz w:val="20"/>
          <w:szCs w:val="20"/>
          <w:lang w:val="pt"/>
        </w:rPr>
        <w:br/>
      </w:r>
      <w:hyperlink r:id="rId10" w:history="1">
        <w:r w:rsidRPr="0085521E">
          <w:rPr>
            <w:rStyle w:val="Hyperlink"/>
            <w:rFonts w:ascii="Noto Sans" w:hAnsi="Noto Sans" w:cs="Noto Sans"/>
            <w:sz w:val="20"/>
            <w:szCs w:val="20"/>
            <w:lang w:val="pt"/>
          </w:rPr>
          <w:t>Jade.Taylor-Salazar@domino-uk.com</w:t>
        </w:r>
      </w:hyperlink>
      <w:r w:rsidRPr="0085521E">
        <w:rPr>
          <w:rFonts w:ascii="Noto Sans" w:hAnsi="Noto Sans" w:cs="Noto Sans"/>
          <w:sz w:val="20"/>
          <w:szCs w:val="20"/>
          <w:lang w:val="pt"/>
        </w:rPr>
        <w:t xml:space="preserve"> </w:t>
      </w:r>
      <w:r>
        <w:rPr>
          <w:rFonts w:ascii="Noto Sans" w:hAnsi="Noto Sans" w:cs="Noto Sans"/>
          <w:sz w:val="20"/>
          <w:szCs w:val="20"/>
          <w:lang w:val="pt"/>
        </w:rPr>
        <w:br/>
      </w:r>
      <w:r>
        <w:rPr>
          <w:rFonts w:ascii="Noto Sans" w:hAnsi="Noto Sans" w:cs="Noto Sans"/>
          <w:sz w:val="20"/>
          <w:szCs w:val="20"/>
          <w:lang w:val="pt"/>
        </w:rPr>
        <w:br/>
      </w:r>
      <w:r w:rsidRPr="00A13A74">
        <w:rPr>
          <w:rFonts w:ascii="Noto Sans" w:eastAsiaTheme="minorHAnsi" w:hAnsi="Noto Sans" w:cs="Noto Sans"/>
          <w:sz w:val="20"/>
          <w:szCs w:val="20"/>
          <w:lang w:val="pt-PT"/>
        </w:rPr>
        <w:t>Daniela Ribeiro</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Marketing and Communications Executive</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Domino Portugal</w:t>
      </w:r>
      <w:r>
        <w:rPr>
          <w:rFonts w:ascii="Noto Sans" w:eastAsiaTheme="minorHAnsi" w:hAnsi="Noto Sans" w:cs="Noto Sans"/>
          <w:sz w:val="20"/>
          <w:szCs w:val="20"/>
          <w:lang w:val="pt-PT"/>
        </w:rPr>
        <w:br/>
      </w:r>
      <w:r w:rsidRPr="00A13A74">
        <w:rPr>
          <w:rFonts w:ascii="Noto Sans" w:eastAsiaTheme="minorHAnsi" w:hAnsi="Noto Sans" w:cs="Noto Sans"/>
          <w:sz w:val="20"/>
          <w:szCs w:val="20"/>
          <w:lang w:val="pt-PT"/>
        </w:rPr>
        <w:t>Tel.: +351 919866148</w:t>
      </w:r>
      <w:r>
        <w:rPr>
          <w:rFonts w:ascii="Noto Sans" w:eastAsiaTheme="minorHAnsi" w:hAnsi="Noto Sans" w:cs="Noto Sans"/>
          <w:sz w:val="20"/>
          <w:szCs w:val="20"/>
          <w:lang w:val="pt-PT"/>
        </w:rPr>
        <w:br/>
      </w:r>
      <w:hyperlink r:id="rId11" w:history="1">
        <w:r w:rsidRPr="00A13A74">
          <w:rPr>
            <w:rStyle w:val="Hyperlink"/>
            <w:rFonts w:ascii="Noto Sans" w:eastAsiaTheme="minorHAnsi" w:hAnsi="Noto Sans" w:cs="Noto Sans"/>
            <w:sz w:val="20"/>
            <w:szCs w:val="20"/>
            <w:lang w:val="pt-PT"/>
          </w:rPr>
          <w:t>Daniela.Ribeiro@domino-portugal.com</w:t>
        </w:r>
      </w:hyperlink>
      <w:r>
        <w:rPr>
          <w:rFonts w:ascii="Noto Sans" w:eastAsiaTheme="minorHAnsi" w:hAnsi="Noto Sans" w:cs="Noto Sans"/>
          <w:sz w:val="22"/>
          <w:lang w:val="pt-PT"/>
        </w:rPr>
        <w:t xml:space="preserve"> </w:t>
      </w:r>
    </w:p>
    <w:p w14:paraId="6805C87F" w14:textId="77777777" w:rsidR="004E618D" w:rsidRPr="00A13A74" w:rsidRDefault="004E618D" w:rsidP="004E618D">
      <w:pPr>
        <w:spacing w:after="160" w:line="240" w:lineRule="auto"/>
        <w:rPr>
          <w:rFonts w:ascii="Noto Sans" w:eastAsiaTheme="minorHAnsi" w:hAnsi="Noto Sans" w:cs="Noto Sans"/>
          <w:color w:val="0D0D0D" w:themeColor="text1" w:themeTint="F2"/>
          <w:sz w:val="20"/>
          <w:szCs w:val="20"/>
          <w:lang w:val="pt-PT"/>
        </w:rPr>
      </w:pPr>
    </w:p>
    <w:bookmarkEnd w:id="1"/>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8DD4" w14:textId="77777777" w:rsidR="00B352AC" w:rsidRDefault="00B352AC" w:rsidP="00785717">
      <w:pPr>
        <w:spacing w:line="240" w:lineRule="auto"/>
      </w:pPr>
      <w:r>
        <w:separator/>
      </w:r>
    </w:p>
  </w:endnote>
  <w:endnote w:type="continuationSeparator" w:id="0">
    <w:p w14:paraId="2560A347" w14:textId="77777777" w:rsidR="00B352AC" w:rsidRDefault="00B352AC"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7877" w14:textId="77777777" w:rsidR="00B352AC" w:rsidRDefault="00B352AC" w:rsidP="00785717">
      <w:pPr>
        <w:spacing w:line="240" w:lineRule="auto"/>
      </w:pPr>
      <w:r>
        <w:separator/>
      </w:r>
    </w:p>
  </w:footnote>
  <w:footnote w:type="continuationSeparator" w:id="0">
    <w:p w14:paraId="69637CE7" w14:textId="77777777" w:rsidR="00B352AC" w:rsidRDefault="00B352AC"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75DBF"/>
    <w:rsid w:val="001D743C"/>
    <w:rsid w:val="002766D9"/>
    <w:rsid w:val="002C3337"/>
    <w:rsid w:val="00372E92"/>
    <w:rsid w:val="004E618D"/>
    <w:rsid w:val="005272B1"/>
    <w:rsid w:val="005524DB"/>
    <w:rsid w:val="005741C7"/>
    <w:rsid w:val="0060122E"/>
    <w:rsid w:val="00617000"/>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352A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4E618D"/>
    <w:rPr>
      <w:sz w:val="16"/>
      <w:szCs w:val="16"/>
    </w:rPr>
  </w:style>
  <w:style w:type="paragraph" w:styleId="CommentText">
    <w:name w:val="annotation text"/>
    <w:basedOn w:val="Normal"/>
    <w:link w:val="CommentTextChar"/>
    <w:uiPriority w:val="99"/>
    <w:unhideWhenUsed/>
    <w:rsid w:val="004E618D"/>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4E618D"/>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pt-pt/blog/2023/how-to-reduce-food-waste-in-retail-with-2d-codes?utm_medium=non-paid&amp;utm_source=onlinepublication&amp;utm_content=when-food-safety-meets-waste-reduction-sb-pt&amp;utm_campaign=2026-int-pt-global-pr-cm-fy25-q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pt-pt/blog/2024/esta-preparado-para-a-lei-204-relativa-a-modernizacao-da-seguranca-alimentar?utm_medium=non-paid&amp;utm_source=onlinepublication&amp;utm_content=when-food-safety-meets-waste-reduction-sb-pt&amp;utm_campaign=2026-int-pt-global-pr-cm-fy25-q4"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pt-pt/home.aspx?utm_medium=non-paid&amp;utm_source=onlinepublication&amp;utm_content=when-food-safety-meets-waste-reduction-sb-pt&amp;utm_campaign=2026-int-pt-global-pr-cm-fy25-q4" TargetMode="External"/><Relationship Id="rId11" Type="http://schemas.openxmlformats.org/officeDocument/2006/relationships/hyperlink" Target="mailto:Daniela.Ribeiro@domino-portugal.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p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7</TotalTime>
  <Pages>5</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3</cp:revision>
  <dcterms:created xsi:type="dcterms:W3CDTF">2026-07-10T15:20:00Z</dcterms:created>
  <dcterms:modified xsi:type="dcterms:W3CDTF">2026-07-10T15:25:00Z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