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9ABD8" w14:textId="77777777" w:rsidR="00BC0A81" w:rsidRPr="00BC0A81" w:rsidRDefault="00BC0A81" w:rsidP="00BC0A81">
      <w:pPr>
        <w:pStyle w:val="Heading1"/>
        <w:spacing w:before="0" w:after="160"/>
        <w:rPr>
          <w:rFonts w:ascii="Noto Sans" w:hAnsi="Noto Sans" w:cs="Noto Sans"/>
          <w:b/>
          <w:bCs/>
          <w:color w:val="auto"/>
          <w:sz w:val="28"/>
          <w:szCs w:val="28"/>
        </w:rPr>
      </w:pPr>
      <w:r w:rsidRPr="00BC0A81">
        <w:rPr>
          <w:rFonts w:ascii="Noto Sans" w:hAnsi="Noto Sans" w:cs="Noto Sans"/>
          <w:b/>
          <w:bCs/>
          <w:color w:val="auto"/>
          <w:sz w:val="28"/>
          <w:szCs w:val="28"/>
          <w:lang w:val="es-ES"/>
        </w:rPr>
        <w:t>El vínculo oculto entre la seguridad alimentaria y la reducción del desperdicio</w:t>
      </w:r>
    </w:p>
    <w:p w14:paraId="278CFBF3" w14:textId="226735DC" w:rsidR="00BC0A81" w:rsidRPr="00BC0A81" w:rsidRDefault="00BC0A81" w:rsidP="00BC0A81">
      <w:pPr>
        <w:spacing w:after="160" w:line="278" w:lineRule="auto"/>
        <w:rPr>
          <w:rFonts w:ascii="Noto Sans" w:hAnsi="Noto Sans" w:cs="Noto Sans"/>
          <w:i/>
          <w:iCs/>
          <w:sz w:val="22"/>
        </w:rPr>
      </w:pPr>
      <w:r w:rsidRPr="00BC0A81">
        <w:rPr>
          <w:rFonts w:ascii="Noto Sans" w:hAnsi="Noto Sans" w:cs="Noto Sans"/>
          <w:i/>
          <w:iCs/>
          <w:sz w:val="22"/>
          <w:lang w:val="es-ES"/>
        </w:rPr>
        <w:t xml:space="preserve">La seguridad alimentaria y la reducción del desperdicio están cada vez más alineadas, a medida que los fabricantes de alimentos adoptan la trazabilidad, los envases inteligentes y los códigos 2D impulsados por GS1 para proteger a los consumidores y reducir el desperdicio, explica Jim Orford (Global </w:t>
      </w:r>
      <w:proofErr w:type="spellStart"/>
      <w:r w:rsidRPr="00BC0A81">
        <w:rPr>
          <w:rFonts w:ascii="Noto Sans" w:hAnsi="Noto Sans" w:cs="Noto Sans"/>
          <w:i/>
          <w:iCs/>
          <w:sz w:val="22"/>
          <w:lang w:val="es-ES"/>
        </w:rPr>
        <w:t>Account</w:t>
      </w:r>
      <w:proofErr w:type="spellEnd"/>
      <w:r w:rsidRPr="00BC0A81">
        <w:rPr>
          <w:rFonts w:ascii="Noto Sans" w:hAnsi="Noto Sans" w:cs="Noto Sans"/>
          <w:i/>
          <w:iCs/>
          <w:sz w:val="22"/>
          <w:lang w:val="es-ES"/>
        </w:rPr>
        <w:t xml:space="preserve"> Manager, </w:t>
      </w:r>
      <w:hyperlink r:id="rId6" w:history="1">
        <w:r w:rsidRPr="002955F9">
          <w:rPr>
            <w:rStyle w:val="Hyperlink"/>
            <w:rFonts w:ascii="Noto Sans" w:hAnsi="Noto Sans" w:cs="Noto Sans"/>
            <w:i/>
            <w:iCs/>
            <w:sz w:val="22"/>
            <w:lang w:val="es-ES"/>
          </w:rPr>
          <w:t xml:space="preserve">Domino Printing </w:t>
        </w:r>
        <w:proofErr w:type="spellStart"/>
        <w:r w:rsidRPr="002955F9">
          <w:rPr>
            <w:rStyle w:val="Hyperlink"/>
            <w:rFonts w:ascii="Noto Sans" w:hAnsi="Noto Sans" w:cs="Noto Sans"/>
            <w:i/>
            <w:iCs/>
            <w:sz w:val="22"/>
            <w:lang w:val="es-ES"/>
          </w:rPr>
          <w:t>Sciences</w:t>
        </w:r>
        <w:proofErr w:type="spellEnd"/>
      </w:hyperlink>
      <w:r w:rsidRPr="00BC0A81">
        <w:rPr>
          <w:rFonts w:ascii="Noto Sans" w:hAnsi="Noto Sans" w:cs="Noto Sans"/>
          <w:i/>
          <w:iCs/>
          <w:sz w:val="22"/>
          <w:lang w:val="es-ES"/>
        </w:rPr>
        <w:t>).</w:t>
      </w:r>
    </w:p>
    <w:p w14:paraId="3023E4B5" w14:textId="4EDFDDA0" w:rsidR="00BC0A81" w:rsidRPr="00BC0A81" w:rsidRDefault="00BC0A81" w:rsidP="00BC0A81">
      <w:pPr>
        <w:spacing w:after="160" w:line="278" w:lineRule="auto"/>
        <w:rPr>
          <w:rFonts w:ascii="Noto Sans" w:hAnsi="Noto Sans" w:cs="Noto Sans"/>
          <w:sz w:val="22"/>
        </w:rPr>
      </w:pPr>
      <w:r w:rsidRPr="00BC0A81">
        <w:rPr>
          <w:rFonts w:ascii="Noto Sans" w:hAnsi="Noto Sans" w:cs="Noto Sans"/>
          <w:sz w:val="22"/>
          <w:lang w:val="es-ES"/>
        </w:rPr>
        <w:t>Los fabricantes de alimentos siempre se han tomado en serio la seguridad alimentaria, con sistemas, auditorías y controles establecidos para proteger a los consumidores. A pesar de esas medidas, suele ser necesario retirar productos para proteger la salud pública cuando se producen incidencias de seguridad alimentaria. Pero, inevitablemente, las retiradas de alimentos conllevan un problema adicional: el del desperdicio evitable.</w:t>
      </w:r>
    </w:p>
    <w:p w14:paraId="7F90B500" w14:textId="7D4632FD" w:rsidR="00BC0A81" w:rsidRPr="00BC0A81" w:rsidRDefault="00BC0A81" w:rsidP="00BC0A81">
      <w:pPr>
        <w:spacing w:after="160" w:line="278" w:lineRule="auto"/>
        <w:rPr>
          <w:rFonts w:ascii="Noto Sans" w:hAnsi="Noto Sans" w:cs="Noto Sans"/>
          <w:sz w:val="22"/>
        </w:rPr>
      </w:pPr>
      <w:r w:rsidRPr="00BC0A81">
        <w:rPr>
          <w:rFonts w:ascii="Noto Sans" w:hAnsi="Noto Sans" w:cs="Noto Sans"/>
          <w:sz w:val="22"/>
          <w:lang w:val="es-ES"/>
        </w:rPr>
        <w:t xml:space="preserve">La mayor parte de ese desperdicio se debe a la incertidumbre. Sin una trazabilidad de productos precisa a nivel de lote, los equipos de seguridad alimentaria se ven obligados a tomar medidas preventivas. Se retiran todos los productos producidos en un turno o una línea, o durante el mismo día, aunque solo esté afectada una parte del total. Si bien esta precaución está justificada por razones de salud pública, es totalmente ineficiente desde el punto de vista del desperdicio de productos global. </w:t>
      </w:r>
    </w:p>
    <w:p w14:paraId="6D7CAD0B" w14:textId="77777777" w:rsidR="00BC0A81" w:rsidRPr="00BC0A81" w:rsidRDefault="00BC0A81" w:rsidP="00BC0A81">
      <w:pPr>
        <w:spacing w:after="160" w:line="278" w:lineRule="auto"/>
        <w:rPr>
          <w:rFonts w:ascii="Noto Sans" w:hAnsi="Noto Sans" w:cs="Noto Sans"/>
          <w:b/>
          <w:bCs/>
          <w:sz w:val="22"/>
        </w:rPr>
      </w:pPr>
      <w:r w:rsidRPr="00BC0A81">
        <w:rPr>
          <w:rFonts w:ascii="Noto Sans" w:hAnsi="Noto Sans" w:cs="Noto Sans"/>
          <w:b/>
          <w:bCs/>
          <w:sz w:val="22"/>
          <w:lang w:val="es-ES"/>
        </w:rPr>
        <w:t>El cumplimiento está sustituyendo la documentación por la evidencia</w:t>
      </w:r>
    </w:p>
    <w:p w14:paraId="4C65E00A" w14:textId="3EE039B6" w:rsidR="00BC0A81" w:rsidRDefault="00BC0A81" w:rsidP="00BC0A81">
      <w:pPr>
        <w:spacing w:after="160" w:line="278" w:lineRule="auto"/>
        <w:rPr>
          <w:rFonts w:ascii="Noto Sans" w:hAnsi="Noto Sans" w:cs="Noto Sans"/>
          <w:sz w:val="22"/>
          <w:lang w:val="es-ES"/>
        </w:rPr>
      </w:pPr>
      <w:r w:rsidRPr="00BC0A81">
        <w:rPr>
          <w:rFonts w:ascii="Noto Sans" w:hAnsi="Noto Sans" w:cs="Noto Sans"/>
          <w:sz w:val="22"/>
          <w:lang w:val="es-ES"/>
        </w:rPr>
        <w:t xml:space="preserve">Con los objetivos de reducción del desperdicio de alimentos cada vez más integrados en los marcos normativos y políticos, ese desequilibrio ya no se pasa por alto. Las normativas modernas sobre seguridad alimentaria (entre ellas la </w:t>
      </w:r>
      <w:hyperlink r:id="rId7" w:history="1">
        <w:r w:rsidRPr="004258D5">
          <w:rPr>
            <w:rStyle w:val="Hyperlink"/>
            <w:rFonts w:ascii="Noto Sans" w:hAnsi="Noto Sans" w:cs="Noto Sans"/>
            <w:sz w:val="22"/>
            <w:lang w:val="es-ES"/>
          </w:rPr>
          <w:t>Ley de Modernización de la Seguridad Alimentaria (FSMA) en EE. UU.</w:t>
        </w:r>
      </w:hyperlink>
      <w:r w:rsidRPr="00BC0A81">
        <w:rPr>
          <w:rFonts w:ascii="Noto Sans" w:hAnsi="Noto Sans" w:cs="Noto Sans"/>
          <w:sz w:val="22"/>
          <w:lang w:val="es-ES"/>
        </w:rPr>
        <w:t>) están priorizando la velocidad y la granularidad. Además de querer que sea posible seguir el rastro de los alimentos, las autoridades quieren saber con qué rapidez se pueden identificar y retirar de la cadena de suministro los productos afectados.</w:t>
      </w:r>
    </w:p>
    <w:p w14:paraId="72ED684E" w14:textId="7B50ABD5" w:rsidR="00BC0A81" w:rsidRPr="00BC0A81" w:rsidRDefault="00BC0A81" w:rsidP="00BC0A81">
      <w:pPr>
        <w:spacing w:after="160" w:line="278" w:lineRule="auto"/>
        <w:rPr>
          <w:rFonts w:ascii="Noto Sans" w:hAnsi="Noto Sans" w:cs="Noto Sans"/>
          <w:sz w:val="22"/>
        </w:rPr>
      </w:pPr>
      <w:r w:rsidRPr="00BC0A81">
        <w:rPr>
          <w:rFonts w:ascii="Noto Sans" w:hAnsi="Noto Sans" w:cs="Noto Sans"/>
          <w:sz w:val="22"/>
          <w:lang w:val="es-ES"/>
        </w:rPr>
        <w:t>Con el cambio constante de las normativas, los sistemas tradicionales de trazabilidad ya no son suficientes. Los registros en papel demuestran el cumplimiento después de un suceso. Existen controles, pero la revisión de la información es lenta y laboriosa, y difícil de conciliar entre múltiples socios en cadenas de suministro complejas.</w:t>
      </w:r>
    </w:p>
    <w:p w14:paraId="03C90EBA" w14:textId="77777777" w:rsidR="00BC0A81" w:rsidRPr="00BC0A81" w:rsidRDefault="00BC0A81" w:rsidP="00BC0A81">
      <w:pPr>
        <w:spacing w:after="160" w:line="278" w:lineRule="auto"/>
        <w:rPr>
          <w:rFonts w:ascii="Noto Sans" w:hAnsi="Noto Sans" w:cs="Noto Sans"/>
          <w:b/>
          <w:bCs/>
          <w:sz w:val="22"/>
        </w:rPr>
      </w:pPr>
      <w:r w:rsidRPr="00BC0A81">
        <w:rPr>
          <w:rFonts w:ascii="Noto Sans" w:hAnsi="Noto Sans" w:cs="Noto Sans"/>
          <w:b/>
          <w:bCs/>
          <w:sz w:val="22"/>
          <w:lang w:val="es-ES"/>
        </w:rPr>
        <w:t>Por qué son importantes los datos en los envases</w:t>
      </w:r>
    </w:p>
    <w:p w14:paraId="5346B230" w14:textId="77777777" w:rsidR="00BC0A81" w:rsidRPr="00BC0A81" w:rsidRDefault="00BC0A81" w:rsidP="00BC0A81">
      <w:pPr>
        <w:spacing w:after="160" w:line="278" w:lineRule="auto"/>
        <w:rPr>
          <w:rFonts w:ascii="Noto Sans" w:hAnsi="Noto Sans" w:cs="Noto Sans"/>
          <w:sz w:val="22"/>
        </w:rPr>
      </w:pPr>
      <w:r w:rsidRPr="00BC0A81">
        <w:rPr>
          <w:rFonts w:ascii="Noto Sans" w:hAnsi="Noto Sans" w:cs="Noto Sans"/>
          <w:sz w:val="22"/>
          <w:lang w:val="es-ES"/>
        </w:rPr>
        <w:lastRenderedPageBreak/>
        <w:t xml:space="preserve">Una trazabilidad fiable exige información precisa y accesible sobre el producto, la producción y la caducidad. Antes solo se podía acceder a una fracción de esa información una vez que los productos habían salido de la fábrica. Ahora la introducción de códigos 2D impulsados por GS1 en los envases alimentarios está transformando la visibilidad en toda la cadena de suministro. </w:t>
      </w:r>
    </w:p>
    <w:p w14:paraId="5A2EB341" w14:textId="77777777" w:rsidR="00BC0A81" w:rsidRPr="00BC0A81" w:rsidRDefault="00BC0A81" w:rsidP="00BC0A81">
      <w:pPr>
        <w:spacing w:after="160" w:line="278" w:lineRule="auto"/>
        <w:rPr>
          <w:rFonts w:ascii="Noto Sans" w:hAnsi="Noto Sans" w:cs="Noto Sans"/>
          <w:sz w:val="22"/>
        </w:rPr>
      </w:pPr>
      <w:r w:rsidRPr="00BC0A81">
        <w:rPr>
          <w:rFonts w:ascii="Noto Sans" w:hAnsi="Noto Sans" w:cs="Noto Sans"/>
          <w:sz w:val="22"/>
          <w:lang w:val="es-ES"/>
        </w:rPr>
        <w:t xml:space="preserve">Con los envases inteligentes, los fabricantes pueden vincular cada envase a datos de trazabilidad estructurados y basados en normas, que son accesibles durante todo el ciclo de vida del producto. </w:t>
      </w:r>
    </w:p>
    <w:p w14:paraId="0824BED8" w14:textId="60DD002A" w:rsidR="00BC0A81" w:rsidRPr="00BC0A81" w:rsidRDefault="00BC0A81" w:rsidP="00BC0A81">
      <w:pPr>
        <w:spacing w:after="160" w:line="278" w:lineRule="auto"/>
        <w:rPr>
          <w:rFonts w:ascii="Noto Sans" w:hAnsi="Noto Sans" w:cs="Noto Sans"/>
          <w:sz w:val="22"/>
        </w:rPr>
      </w:pPr>
      <w:r w:rsidRPr="00BC0A81">
        <w:rPr>
          <w:rFonts w:ascii="Noto Sans" w:hAnsi="Noto Sans" w:cs="Noto Sans"/>
          <w:sz w:val="22"/>
          <w:lang w:val="es-ES"/>
        </w:rPr>
        <w:t>Cuando surgen problemas de seguridad, unos datos más claros a nivel de envase permiten un proceso de retirada de alimentos más rápido y eficaz. Los fabricantes pueden confirmar rápidamente cuáles son los productos concretos afectados. El número de artículos retirados se limita a los incluidos en los lotes comprometidos, con lo que se evita el desperdicio innecesario de alimentos en buen estado. Para los minoristas, esa trazabilidad mejorada reduce el tiempo y el coste que conlleva retirar de la venta alimentos seguros.</w:t>
      </w:r>
    </w:p>
    <w:p w14:paraId="21E22193" w14:textId="77777777" w:rsidR="00BC0A81" w:rsidRPr="00BC0A81" w:rsidRDefault="00BC0A81" w:rsidP="00BC0A81">
      <w:pPr>
        <w:spacing w:after="160" w:line="278" w:lineRule="auto"/>
        <w:rPr>
          <w:rFonts w:ascii="Noto Sans" w:hAnsi="Noto Sans" w:cs="Noto Sans"/>
          <w:b/>
          <w:bCs/>
          <w:sz w:val="22"/>
        </w:rPr>
      </w:pPr>
      <w:r w:rsidRPr="00BC0A81">
        <w:rPr>
          <w:rFonts w:ascii="Noto Sans" w:hAnsi="Noto Sans" w:cs="Noto Sans"/>
          <w:b/>
          <w:bCs/>
          <w:sz w:val="22"/>
          <w:lang w:val="es-ES"/>
        </w:rPr>
        <w:t>Frescura, seguridad y control de fechas</w:t>
      </w:r>
    </w:p>
    <w:p w14:paraId="7B2EC882" w14:textId="77777777" w:rsidR="00BC0A81" w:rsidRPr="00BC0A81" w:rsidRDefault="00BC0A81" w:rsidP="00BC0A81">
      <w:pPr>
        <w:spacing w:after="160" w:line="278" w:lineRule="auto"/>
        <w:rPr>
          <w:rFonts w:ascii="Noto Sans" w:hAnsi="Noto Sans" w:cs="Noto Sans"/>
          <w:sz w:val="22"/>
        </w:rPr>
      </w:pPr>
      <w:r w:rsidRPr="00BC0A81">
        <w:rPr>
          <w:rFonts w:ascii="Noto Sans" w:hAnsi="Noto Sans" w:cs="Noto Sans"/>
          <w:sz w:val="22"/>
          <w:lang w:val="es-ES"/>
        </w:rPr>
        <w:t>Los envases inteligentes dotados de códigos 2D también pueden transformar la gestión de los alimentos en toda la cadena de suministro mucho antes de que surjan problemas de seguridad. Los alimentos que permanecen demasiado tiempo en los canales de distribución o de venta minorista pueden plantear problemas de seguridad y aumentar el desperdicio.</w:t>
      </w:r>
    </w:p>
    <w:p w14:paraId="0ED3C86F" w14:textId="05791EC6" w:rsidR="00BC0A81" w:rsidRPr="00BC0A81" w:rsidRDefault="00BC0A81" w:rsidP="00BC0A81">
      <w:pPr>
        <w:spacing w:after="160" w:line="278" w:lineRule="auto"/>
        <w:rPr>
          <w:rFonts w:ascii="Noto Sans" w:hAnsi="Noto Sans" w:cs="Noto Sans"/>
          <w:sz w:val="22"/>
        </w:rPr>
      </w:pPr>
      <w:r w:rsidRPr="00BC0A81">
        <w:rPr>
          <w:rFonts w:ascii="Noto Sans" w:hAnsi="Noto Sans" w:cs="Noto Sans"/>
          <w:sz w:val="22"/>
          <w:lang w:val="es-ES"/>
        </w:rPr>
        <w:t xml:space="preserve">Con acceso a información precisa y estandarizada sobre caducidad y producción, los socios de la cadena de suministro pueden gestionar las existencias con más eficiencia. Los minoristas pueden mejorar la gestión de existencias, utilizando </w:t>
      </w:r>
      <w:hyperlink r:id="rId8" w:history="1">
        <w:r w:rsidRPr="002955F9">
          <w:rPr>
            <w:rStyle w:val="Hyperlink"/>
            <w:rFonts w:ascii="Noto Sans" w:hAnsi="Noto Sans" w:cs="Noto Sans"/>
            <w:sz w:val="22"/>
            <w:lang w:val="es-ES"/>
          </w:rPr>
          <w:t>precios dinámicos en las tiendas</w:t>
        </w:r>
      </w:hyperlink>
      <w:r w:rsidRPr="00BC0A81">
        <w:rPr>
          <w:rFonts w:ascii="Noto Sans" w:hAnsi="Noto Sans" w:cs="Noto Sans"/>
          <w:sz w:val="22"/>
          <w:lang w:val="es-ES"/>
        </w:rPr>
        <w:t xml:space="preserve"> (por ejemplo, para aplicar descuentos a los productos antes de que caduquen). Los mismos protocolos pueden utilizarse para garantizar que los artículos escaneados en el punto de venta se marquen si han caducado o están sujetos a retiradas, para evitar la venta involuntaria de productos alimentarios inseguros. Esto refuerza los controles de seguridad alimentaria y se alinea con los objetivos de prevención del desperdicio.</w:t>
      </w:r>
    </w:p>
    <w:p w14:paraId="4232DD43" w14:textId="3C1F4FC1" w:rsidR="00BC0A81" w:rsidRPr="00BC0A81" w:rsidRDefault="00BC0A81" w:rsidP="00BC0A81">
      <w:pPr>
        <w:spacing w:after="160" w:line="278" w:lineRule="auto"/>
        <w:rPr>
          <w:rFonts w:ascii="Noto Sans" w:hAnsi="Noto Sans" w:cs="Noto Sans"/>
          <w:b/>
          <w:bCs/>
          <w:sz w:val="22"/>
        </w:rPr>
      </w:pPr>
      <w:r w:rsidRPr="00BC0A81">
        <w:rPr>
          <w:rFonts w:ascii="Noto Sans" w:hAnsi="Noto Sans" w:cs="Noto Sans"/>
          <w:b/>
          <w:bCs/>
          <w:sz w:val="22"/>
          <w:lang w:val="es-ES"/>
        </w:rPr>
        <w:t>Una visión sistémica de la responsabilidad</w:t>
      </w:r>
    </w:p>
    <w:p w14:paraId="345F2803" w14:textId="77777777" w:rsidR="00BC0A81" w:rsidRPr="00BC0A81" w:rsidRDefault="00BC0A81" w:rsidP="00BC0A81">
      <w:pPr>
        <w:spacing w:after="160" w:line="278" w:lineRule="auto"/>
        <w:rPr>
          <w:rFonts w:ascii="Noto Sans" w:hAnsi="Noto Sans" w:cs="Noto Sans"/>
          <w:sz w:val="22"/>
        </w:rPr>
      </w:pPr>
      <w:r w:rsidRPr="00BC0A81">
        <w:rPr>
          <w:rFonts w:ascii="Noto Sans" w:hAnsi="Noto Sans" w:cs="Noto Sans"/>
          <w:sz w:val="22"/>
          <w:lang w:val="es-ES"/>
        </w:rPr>
        <w:lastRenderedPageBreak/>
        <w:t>Este nuevo posicionamiento, que considera la cuestión del desperdicio de alimentos junto con la seguridad, es un importante cambio de propósito. El uso de códigos 2D impulsados por GS1 está surgiendo como parte de una iniciativa más amplia de uso de datos interoperables y fiables en todos los sistemas alimentarios.</w:t>
      </w:r>
    </w:p>
    <w:p w14:paraId="418EB84E" w14:textId="77777777" w:rsidR="00BC0A81" w:rsidRPr="00BC0A81" w:rsidRDefault="00BC0A81" w:rsidP="00BC0A81">
      <w:pPr>
        <w:spacing w:after="160" w:line="278" w:lineRule="auto"/>
        <w:rPr>
          <w:rFonts w:ascii="Noto Sans" w:hAnsi="Noto Sans" w:cs="Noto Sans"/>
          <w:sz w:val="22"/>
        </w:rPr>
      </w:pPr>
      <w:r w:rsidRPr="00BC0A81">
        <w:rPr>
          <w:rFonts w:ascii="Noto Sans" w:hAnsi="Noto Sans" w:cs="Noto Sans"/>
          <w:sz w:val="22"/>
          <w:lang w:val="es-ES"/>
        </w:rPr>
        <w:t>Para los fabricantes, la capacidad de mejorar la precisión de las retiradas tiene beneficios de gran alcance. Además de reducir el desperdicio innecesario de alimentos sin incurrir en riesgos adicionales, la capacidad de demostrar un mayor cumplimiento de la seguridad alimentaria genera confianza tanto en los minoristas como en los organismos reguladores.</w:t>
      </w:r>
    </w:p>
    <w:p w14:paraId="634A7637" w14:textId="02215E10" w:rsidR="00BC0A81" w:rsidRDefault="00BC0A81" w:rsidP="00BC0A81">
      <w:pPr>
        <w:spacing w:after="160" w:line="278" w:lineRule="auto"/>
        <w:rPr>
          <w:rFonts w:ascii="Noto Sans" w:hAnsi="Noto Sans" w:cs="Noto Sans"/>
          <w:b/>
          <w:bCs/>
          <w:sz w:val="22"/>
          <w:lang w:val="es-ES"/>
        </w:rPr>
      </w:pPr>
      <w:r w:rsidRPr="00BC0A81">
        <w:rPr>
          <w:rFonts w:ascii="Noto Sans" w:hAnsi="Noto Sans" w:cs="Noto Sans"/>
          <w:sz w:val="22"/>
          <w:lang w:val="es-ES"/>
        </w:rPr>
        <w:t>Fundamentalmente, no se trata de sustituir los sistemas existentes ni de emprender una transformación a gran escala. La finalidad es reforzar el vínculo entre la seguridad alimentaria y la reducción del desperdicio, mejorando la forma en que se comunica la información y las acciones subsiguientes.</w:t>
      </w:r>
    </w:p>
    <w:p w14:paraId="38AD6F82" w14:textId="08EF66E1" w:rsidR="00BC0A81" w:rsidRPr="00BC0A81" w:rsidRDefault="00BC0A81" w:rsidP="00BC0A81">
      <w:pPr>
        <w:spacing w:after="160" w:line="278" w:lineRule="auto"/>
        <w:rPr>
          <w:rFonts w:ascii="Noto Sans" w:hAnsi="Noto Sans" w:cs="Noto Sans"/>
          <w:b/>
          <w:bCs/>
          <w:sz w:val="22"/>
        </w:rPr>
      </w:pPr>
      <w:r w:rsidRPr="00BC0A81">
        <w:rPr>
          <w:rFonts w:ascii="Noto Sans" w:hAnsi="Noto Sans" w:cs="Noto Sans"/>
          <w:b/>
          <w:bCs/>
          <w:sz w:val="22"/>
          <w:lang w:val="es-ES"/>
        </w:rPr>
        <w:t>De cara al futuro</w:t>
      </w:r>
    </w:p>
    <w:p w14:paraId="709BA6CA" w14:textId="77777777" w:rsidR="00BC0A81" w:rsidRPr="00BC0A81" w:rsidRDefault="00BC0A81" w:rsidP="00BC0A81">
      <w:pPr>
        <w:spacing w:after="160" w:line="278" w:lineRule="auto"/>
        <w:rPr>
          <w:rFonts w:ascii="Noto Sans" w:hAnsi="Noto Sans" w:cs="Noto Sans"/>
          <w:sz w:val="22"/>
        </w:rPr>
      </w:pPr>
      <w:r w:rsidRPr="00BC0A81">
        <w:rPr>
          <w:rFonts w:ascii="Noto Sans" w:hAnsi="Noto Sans" w:cs="Noto Sans"/>
          <w:sz w:val="22"/>
          <w:lang w:val="es-ES"/>
        </w:rPr>
        <w:t>A medida que aumenten las expectativas, se juzgará tanto si los fabricantes reaccionan a los incidentes de seguridad alimentaria como la rapidez y la eficiencia de sus reacciones. El uso de códigos 2D impulsados por GS1 permite a los fabricantes demostrar un proceso de retirada de alimentos basado en la evidencia y apoya los objetivos de reducción del desperdicio sin comprometer la protección del consumidor. Con mejores datos a nivel de envase, compartidos mediante normas fiables, los fabricantes pueden realizar retiradas de alimentos con un enfoque preciso, exacto y fiable que refuerce la seguridad y reduzca significativamente el desperdicio de alimentos.</w:t>
      </w:r>
    </w:p>
    <w:p w14:paraId="112113B6" w14:textId="77777777" w:rsidR="00BC0A81" w:rsidRDefault="00BC0A81" w:rsidP="00BC0A81">
      <w:pPr>
        <w:spacing w:after="160" w:line="278" w:lineRule="auto"/>
        <w:rPr>
          <w:rFonts w:ascii="Noto Sans" w:hAnsi="Noto Sans" w:cs="Noto Sans"/>
          <w:sz w:val="22"/>
          <w:lang w:val="es-ES"/>
        </w:rPr>
      </w:pPr>
    </w:p>
    <w:p w14:paraId="1E5A880C" w14:textId="1D9C52CC" w:rsidR="00BC0A81" w:rsidRPr="00BC0A81" w:rsidRDefault="00BC0A81" w:rsidP="00BC0A81">
      <w:pPr>
        <w:spacing w:after="160" w:line="278" w:lineRule="auto"/>
        <w:rPr>
          <w:rFonts w:ascii="Noto Sans" w:hAnsi="Noto Sans" w:cs="Noto Sans"/>
          <w:sz w:val="22"/>
        </w:rPr>
      </w:pPr>
      <w:r>
        <w:rPr>
          <w:rFonts w:ascii="Noto Sans" w:hAnsi="Noto Sans" w:cs="Noto Sans"/>
          <w:sz w:val="22"/>
          <w:lang w:val="es-ES"/>
        </w:rPr>
        <w:t>&lt;</w:t>
      </w:r>
      <w:r w:rsidRPr="00BC0A81">
        <w:rPr>
          <w:rFonts w:ascii="Noto Sans" w:hAnsi="Noto Sans" w:cs="Noto Sans"/>
          <w:b/>
          <w:bCs/>
          <w:sz w:val="22"/>
          <w:lang w:val="es-ES"/>
        </w:rPr>
        <w:t>FIN</w:t>
      </w:r>
      <w:r>
        <w:rPr>
          <w:rFonts w:ascii="Noto Sans" w:hAnsi="Noto Sans" w:cs="Noto Sans"/>
          <w:sz w:val="22"/>
          <w:lang w:val="es-ES"/>
        </w:rPr>
        <w:t>&gt;</w:t>
      </w:r>
      <w:r w:rsidRPr="00BC0A81">
        <w:rPr>
          <w:rFonts w:ascii="Noto Sans" w:hAnsi="Noto Sans" w:cs="Noto Sans"/>
          <w:sz w:val="22"/>
          <w:lang w:val="es-ES"/>
        </w:rPr>
        <w:t xml:space="preserve"> </w:t>
      </w:r>
    </w:p>
    <w:p w14:paraId="715647A2" w14:textId="77777777" w:rsidR="00BC0A81" w:rsidRDefault="00BC0A81" w:rsidP="00BC0A81">
      <w:pPr>
        <w:rPr>
          <w:rFonts w:ascii="Noto Sans" w:hAnsi="Noto Sans" w:cs="Noto Sans"/>
          <w:b/>
          <w:bCs/>
          <w:sz w:val="20"/>
          <w:szCs w:val="20"/>
          <w:lang w:val="es"/>
        </w:rPr>
      </w:pPr>
      <w:bookmarkStart w:id="0" w:name="_Hlk531088985"/>
    </w:p>
    <w:p w14:paraId="53EB7C38" w14:textId="73B6AA33" w:rsidR="005524DB" w:rsidRPr="00BC0A81" w:rsidRDefault="00BC0A81" w:rsidP="008E7573">
      <w:pPr>
        <w:rPr>
          <w:rFonts w:ascii="Noto Sans" w:hAnsi="Noto Sans" w:cs="Noto Sans"/>
          <w:sz w:val="22"/>
        </w:rPr>
      </w:pPr>
      <w:r>
        <w:rPr>
          <w:rFonts w:ascii="Noto Sans" w:hAnsi="Noto Sans" w:cs="Noto Sans"/>
          <w:b/>
          <w:bCs/>
          <w:sz w:val="20"/>
          <w:szCs w:val="20"/>
          <w:lang w:val="es"/>
        </w:rPr>
        <w:t>Descargo de responsabilidad</w:t>
      </w:r>
      <w:bookmarkEnd w:id="0"/>
      <w:r>
        <w:rPr>
          <w:rFonts w:ascii="Noto Sans" w:hAnsi="Noto Sans" w:cs="Noto Sans"/>
          <w:b/>
          <w:bCs/>
          <w:sz w:val="20"/>
          <w:szCs w:val="20"/>
          <w:lang w:val="es"/>
        </w:rPr>
        <w:br/>
      </w:r>
      <w:r>
        <w:rPr>
          <w:rFonts w:ascii="Noto Sans" w:hAnsi="Noto Sans" w:cs="Noto Sans"/>
          <w:b/>
          <w:bCs/>
          <w:sz w:val="20"/>
          <w:szCs w:val="20"/>
          <w:lang w:val="es"/>
        </w:rPr>
        <w:br/>
        <w:t>Tintas</w:t>
      </w:r>
      <w:r>
        <w:rPr>
          <w:rFonts w:ascii="Noto Sans" w:hAnsi="Noto Sans" w:cs="Noto Sans"/>
          <w:sz w:val="20"/>
          <w:szCs w:val="20"/>
          <w:lang w:val="es"/>
        </w:rPr>
        <w:br/>
        <w:t xml:space="preserve">La información contenida en este documento no pretende sustituir la realización de las pruebas correspondientes a su uso y circunstancias específicas. Ni Domino UK </w:t>
      </w:r>
      <w:proofErr w:type="spellStart"/>
      <w:r>
        <w:rPr>
          <w:rFonts w:ascii="Noto Sans" w:hAnsi="Noto Sans" w:cs="Noto Sans"/>
          <w:sz w:val="20"/>
          <w:szCs w:val="20"/>
          <w:lang w:val="es"/>
        </w:rPr>
        <w:t>Limited</w:t>
      </w:r>
      <w:proofErr w:type="spellEnd"/>
      <w:r>
        <w:rPr>
          <w:rFonts w:ascii="Noto Sans" w:hAnsi="Noto Sans" w:cs="Noto Sans"/>
          <w:sz w:val="20"/>
          <w:szCs w:val="20"/>
          <w:lang w:val="es"/>
        </w:rPr>
        <w:t xml:space="preserve"> ni ninguna de las </w:t>
      </w:r>
      <w:r>
        <w:rPr>
          <w:rFonts w:ascii="Noto Sans" w:hAnsi="Noto Sans" w:cs="Noto Sans"/>
          <w:sz w:val="20"/>
          <w:szCs w:val="20"/>
          <w:lang w:val="es"/>
        </w:rPr>
        <w:lastRenderedPageBreak/>
        <w:t xml:space="preserve">empresas del grupo Domino es responsable en ninguna medida del hecho de que usted pueda basar en este documento su confianza respecto a la adecuación de cualquier tinta para su tipo determinado de aplicación. Este documento no forma parte de ningún escrito de términos y condiciones entre usted y Domino, y los términos y condiciones de venta de Domino y, en especial las garantías y responsabilidades contenidas en los mismos, serán aplicables a toda compra de productos que usted haga. </w:t>
      </w:r>
      <w:r>
        <w:rPr>
          <w:rFonts w:ascii="Noto Sans" w:hAnsi="Noto Sans" w:cs="Noto Sans"/>
          <w:sz w:val="20"/>
          <w:szCs w:val="20"/>
          <w:lang w:val="es"/>
        </w:rPr>
        <w:br/>
      </w:r>
      <w:r>
        <w:rPr>
          <w:rFonts w:ascii="Noto Sans" w:hAnsi="Noto Sans" w:cs="Noto Sans"/>
          <w:sz w:val="20"/>
          <w:szCs w:val="20"/>
          <w:lang w:val="es-ES"/>
        </w:rPr>
        <w:br/>
      </w:r>
      <w:r>
        <w:rPr>
          <w:rFonts w:ascii="Noto Sans" w:hAnsi="Noto Sans" w:cs="Noto Sans"/>
          <w:b/>
          <w:bCs/>
          <w:sz w:val="20"/>
          <w:szCs w:val="20"/>
          <w:lang w:val="es"/>
        </w:rPr>
        <w:t>Información general</w:t>
      </w:r>
      <w:r>
        <w:rPr>
          <w:rFonts w:ascii="Noto Sans" w:hAnsi="Noto Sans" w:cs="Noto Sans"/>
          <w:sz w:val="20"/>
          <w:szCs w:val="20"/>
          <w:lang w:val="es"/>
        </w:rPr>
        <w:br/>
        <w:t xml:space="preserve">La información contenida en este comunicado de prensa se considera verdadera y correcta en la fecha de publicación de Domino; los cambios en las circunstancias tras el momento de publicación pueden afectar a la precisión de la misma. Todas las cifras y declaraciones de rendimiento que constan en este documento han sido obtenidas en condiciones específicas y solo pueden ser reproducidas en circunstancias similares. Deberá ponerse en contacto con su comercial de Domino para más información sobre productos concretos. Este documento no forma parte de ningún escrito de términos y condiciones entre usted y Domino. </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Imágenes</w:t>
      </w:r>
      <w:r>
        <w:rPr>
          <w:rFonts w:ascii="Noto Sans" w:hAnsi="Noto Sans" w:cs="Noto Sans"/>
          <w:sz w:val="20"/>
          <w:szCs w:val="20"/>
          <w:lang w:val="es"/>
        </w:rPr>
        <w:br/>
        <w:t xml:space="preserve">Las imágenes pueden incluir extras opcionales o actualizaciones. La calidad de impresión puede variar en función de los consumibles, la impresora, los sustratos y otros factores. Las imágenes y las fotografías no forman parte de ningún escrito de términos y condiciones entre usted y Domino. </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Vídeos</w:t>
      </w:r>
      <w:r>
        <w:rPr>
          <w:rFonts w:ascii="Noto Sans" w:hAnsi="Noto Sans" w:cs="Noto Sans"/>
          <w:sz w:val="20"/>
          <w:szCs w:val="20"/>
          <w:lang w:val="es"/>
        </w:rPr>
        <w:br/>
        <w:t>Este vídeo se facilita únicamente con fines ilustrativos y puede incluir extras opcionales. Las cifras de rendimiento se han obtenido en condiciones específicas; el rendimiento sobre el terreno puede variar. Algunos errores y tiempo de inactividad en las líneas de producción pueden ser inevitables. No hay nada en este vídeo que forme parte de ningún contrato entre usted y Domino.</w:t>
      </w:r>
      <w:r>
        <w:rPr>
          <w:rFonts w:ascii="Noto Sans" w:hAnsi="Noto Sans" w:cs="Noto Sans"/>
          <w:sz w:val="20"/>
          <w:szCs w:val="20"/>
          <w:lang w:val="es"/>
        </w:rPr>
        <w:br/>
      </w:r>
      <w:r>
        <w:rPr>
          <w:rFonts w:ascii="Noto Sans" w:hAnsi="Noto Sans" w:cs="Noto Sans"/>
          <w:sz w:val="20"/>
          <w:szCs w:val="20"/>
          <w:lang w:val="es"/>
        </w:rPr>
        <w:br/>
      </w:r>
      <w:bookmarkStart w:id="1" w:name="_Hlk61949672"/>
      <w:r>
        <w:rPr>
          <w:rFonts w:ascii="Noto Sans" w:hAnsi="Noto Sans" w:cs="Noto Sans"/>
          <w:b/>
          <w:bCs/>
          <w:sz w:val="20"/>
          <w:szCs w:val="20"/>
          <w:lang w:val="es"/>
        </w:rPr>
        <w:t>Notas para los editores:</w:t>
      </w:r>
      <w:r>
        <w:rPr>
          <w:rFonts w:ascii="Noto Sans" w:hAnsi="Noto Sans" w:cs="Noto Sans"/>
          <w:sz w:val="20"/>
          <w:szCs w:val="20"/>
          <w:lang w:val="es"/>
        </w:rPr>
        <w:br/>
      </w:r>
      <w:r>
        <w:rPr>
          <w:rFonts w:ascii="Noto Sans" w:hAnsi="Noto Sans" w:cs="Noto Sans"/>
          <w:sz w:val="20"/>
          <w:szCs w:val="20"/>
          <w:lang w:val="es"/>
        </w:rPr>
        <w:lastRenderedPageBreak/>
        <w:br/>
      </w:r>
      <w:r>
        <w:rPr>
          <w:rFonts w:ascii="Noto Sans" w:hAnsi="Noto Sans" w:cs="Noto Sans"/>
          <w:b/>
          <w:bCs/>
          <w:sz w:val="20"/>
          <w:szCs w:val="20"/>
          <w:lang w:val="es"/>
        </w:rPr>
        <w:t>Acerca de Domino</w:t>
      </w:r>
      <w:r>
        <w:rPr>
          <w:rFonts w:ascii="Noto Sans" w:hAnsi="Noto Sans" w:cs="Noto Sans"/>
          <w:sz w:val="20"/>
          <w:szCs w:val="20"/>
          <w:lang w:val="es"/>
        </w:rPr>
        <w:br/>
      </w:r>
      <w:proofErr w:type="spellStart"/>
      <w:r>
        <w:rPr>
          <w:rFonts w:ascii="Noto Sans" w:hAnsi="Noto Sans" w:cs="Noto Sans"/>
          <w:sz w:val="20"/>
          <w:szCs w:val="20"/>
          <w:lang w:val="es"/>
        </w:rPr>
        <w:t>Domino</w:t>
      </w:r>
      <w:proofErr w:type="spellEnd"/>
      <w:r>
        <w:rPr>
          <w:rFonts w:ascii="Noto Sans" w:hAnsi="Noto Sans" w:cs="Noto Sans"/>
          <w:sz w:val="20"/>
          <w:szCs w:val="20"/>
          <w:lang w:val="es"/>
        </w:rPr>
        <w:t xml:space="preserve"> Printing </w:t>
      </w:r>
      <w:proofErr w:type="spellStart"/>
      <w:r>
        <w:rPr>
          <w:rFonts w:ascii="Noto Sans" w:hAnsi="Noto Sans" w:cs="Noto Sans"/>
          <w:sz w:val="20"/>
          <w:szCs w:val="20"/>
          <w:lang w:val="es"/>
        </w:rPr>
        <w:t>Sciences</w:t>
      </w:r>
      <w:proofErr w:type="spellEnd"/>
      <w:r>
        <w:rPr>
          <w:rFonts w:ascii="Noto Sans" w:hAnsi="Noto Sans" w:cs="Noto Sans"/>
          <w:sz w:val="20"/>
          <w:szCs w:val="20"/>
          <w:lang w:val="es"/>
        </w:rPr>
        <w:t xml:space="preserve"> (Domino), empresa fundada en 1978, cuenta con un excelente prestigio a nivel mundial gracias a sus soluciones tecnológicas de codificación, marcaje e impresión. Como valor añadido, destaca su servicio internacional de postventa y atención al cliente. En la actualidad, Domino tiene una de las gamas más completas de soluciones de codificación integrales diseñadas específicamente para satisfacer los requisitos de cumplimiento y de productividad de los fabricantes en numerosos sectores, entre los que destacan la industria de alimentos y bebidas, el sector farmacéutico y el industrial. Entre las tecnologías principales de la empresa se encuentran innovadores sistemas </w:t>
      </w:r>
      <w:proofErr w:type="spellStart"/>
      <w:r>
        <w:rPr>
          <w:rFonts w:ascii="Noto Sans" w:hAnsi="Noto Sans" w:cs="Noto Sans"/>
          <w:sz w:val="20"/>
          <w:szCs w:val="20"/>
          <w:lang w:val="es"/>
        </w:rPr>
        <w:t>inkjet</w:t>
      </w:r>
      <w:proofErr w:type="spellEnd"/>
      <w:r>
        <w:rPr>
          <w:rFonts w:ascii="Noto Sans" w:hAnsi="Noto Sans" w:cs="Noto Sans"/>
          <w:sz w:val="20"/>
          <w:szCs w:val="20"/>
          <w:lang w:val="es"/>
        </w:rPr>
        <w:t xml:space="preserve">, láser, de impresión y aplicación de etiquetas y de impresión por transferencia térmica, diseñados para la aplicación de datos variables, códigos de barras y códigos de trazabilidad únicos en productos y envases. </w:t>
      </w:r>
      <w:r>
        <w:rPr>
          <w:rFonts w:ascii="Noto Sans" w:hAnsi="Noto Sans" w:cs="Noto Sans"/>
          <w:sz w:val="20"/>
          <w:szCs w:val="20"/>
          <w:lang w:val="es"/>
        </w:rPr>
        <w:br/>
      </w:r>
      <w:r>
        <w:rPr>
          <w:rFonts w:ascii="Noto Sans" w:hAnsi="Noto Sans" w:cs="Noto Sans"/>
          <w:sz w:val="20"/>
          <w:szCs w:val="20"/>
          <w:lang w:val="es"/>
        </w:rPr>
        <w:br/>
        <w:t>Domino cuenta con más de 3000 colaboradores en todo el mundo y vende a más de 120 países a través de una red global de 29 filiales y más de 200 distribuidores. Domino posee fábricas en Alemania, China, EE. UU., India, Reino Unido, Suecia y Suiza.</w:t>
      </w:r>
      <w:r>
        <w:rPr>
          <w:rFonts w:ascii="Noto Sans" w:hAnsi="Noto Sans" w:cs="Noto Sans"/>
          <w:sz w:val="20"/>
          <w:szCs w:val="20"/>
          <w:lang w:val="es"/>
        </w:rPr>
        <w:br/>
      </w:r>
      <w:r>
        <w:rPr>
          <w:rFonts w:ascii="Noto Sans" w:hAnsi="Noto Sans" w:cs="Noto Sans"/>
          <w:sz w:val="20"/>
          <w:szCs w:val="20"/>
          <w:lang w:val="es"/>
        </w:rPr>
        <w:br/>
        <w:t xml:space="preserve">Domino pasó a ser una división autónoma de Brother Industries Ltd. el 11 de junio de 2015. </w:t>
      </w:r>
      <w:r>
        <w:rPr>
          <w:rFonts w:ascii="Noto Sans" w:hAnsi="Noto Sans" w:cs="Noto Sans"/>
          <w:sz w:val="20"/>
          <w:szCs w:val="20"/>
          <w:lang w:val="es"/>
        </w:rPr>
        <w:br/>
      </w:r>
      <w:r>
        <w:rPr>
          <w:rFonts w:ascii="Noto Sans" w:hAnsi="Noto Sans" w:cs="Noto Sans"/>
          <w:sz w:val="20"/>
          <w:szCs w:val="20"/>
          <w:lang w:val="es"/>
        </w:rPr>
        <w:br/>
        <w:t>Para obtener más información sobre Domino,</w:t>
      </w:r>
      <w:r>
        <w:rPr>
          <w:rFonts w:ascii="Noto Sans" w:hAnsi="Noto Sans" w:cs="Noto Sans"/>
          <w:sz w:val="20"/>
          <w:szCs w:val="20"/>
          <w:lang w:val="es"/>
        </w:rPr>
        <w:br/>
        <w:t xml:space="preserve">visite </w:t>
      </w:r>
      <w:hyperlink r:id="rId9" w:history="1">
        <w:r>
          <w:rPr>
            <w:rStyle w:val="Hyperlink"/>
            <w:rFonts w:ascii="Noto Sans" w:hAnsi="Noto Sans" w:cs="Noto Sans"/>
            <w:sz w:val="20"/>
            <w:szCs w:val="20"/>
            <w:lang w:val="es"/>
          </w:rPr>
          <w:t>www.domino-spain.com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Contactos:</w:t>
      </w:r>
      <w:r>
        <w:rPr>
          <w:rFonts w:ascii="Noto Sans" w:hAnsi="Noto Sans" w:cs="Noto Sans"/>
          <w:sz w:val="20"/>
          <w:szCs w:val="20"/>
          <w:lang w:val="es"/>
        </w:rPr>
        <w:br/>
      </w:r>
      <w:r>
        <w:rPr>
          <w:rFonts w:ascii="Noto Sans" w:hAnsi="Noto Sans" w:cs="Noto Sans"/>
          <w:sz w:val="20"/>
          <w:szCs w:val="20"/>
          <w:lang w:val="es"/>
        </w:rPr>
        <w:br/>
      </w:r>
      <w:bookmarkEnd w:id="1"/>
      <w:r w:rsidRPr="00F4774E">
        <w:rPr>
          <w:rFonts w:ascii="Noto Sans" w:hAnsi="Noto Sans" w:cs="Noto Sans"/>
          <w:sz w:val="20"/>
          <w:szCs w:val="20"/>
          <w:lang w:val="nl"/>
        </w:rPr>
        <w:t>Jade Taylor-Salazar</w:t>
      </w:r>
      <w:r>
        <w:rPr>
          <w:rFonts w:ascii="Noto Sans" w:hAnsi="Noto Sans" w:cs="Noto Sans"/>
          <w:sz w:val="20"/>
          <w:szCs w:val="20"/>
          <w:lang w:val="es"/>
        </w:rPr>
        <w:br/>
        <w:t xml:space="preserve">RR. PP. y gestora de contenidos </w:t>
      </w:r>
      <w:r>
        <w:rPr>
          <w:rFonts w:ascii="Noto Sans" w:hAnsi="Noto Sans" w:cs="Noto Sans"/>
          <w:sz w:val="20"/>
          <w:szCs w:val="20"/>
          <w:lang w:val="es"/>
        </w:rPr>
        <w:br/>
        <w:t xml:space="preserve">Domino Printing </w:t>
      </w:r>
      <w:proofErr w:type="spellStart"/>
      <w:r>
        <w:rPr>
          <w:rFonts w:ascii="Noto Sans" w:hAnsi="Noto Sans" w:cs="Noto Sans"/>
          <w:sz w:val="20"/>
          <w:szCs w:val="20"/>
          <w:lang w:val="es"/>
        </w:rPr>
        <w:t>Sciences</w:t>
      </w:r>
      <w:proofErr w:type="spellEnd"/>
      <w:r>
        <w:rPr>
          <w:rFonts w:ascii="Noto Sans" w:hAnsi="Noto Sans" w:cs="Noto Sans"/>
          <w:sz w:val="20"/>
          <w:szCs w:val="20"/>
          <w:lang w:val="es"/>
        </w:rPr>
        <w:t xml:space="preserve"> </w:t>
      </w:r>
      <w:r>
        <w:rPr>
          <w:rFonts w:ascii="Noto Sans" w:hAnsi="Noto Sans" w:cs="Noto Sans"/>
          <w:sz w:val="20"/>
          <w:szCs w:val="20"/>
          <w:lang w:val="es"/>
        </w:rPr>
        <w:br/>
        <w:t>Tel.: +44 1954 778 780</w:t>
      </w:r>
      <w:r>
        <w:rPr>
          <w:rFonts w:ascii="Noto Sans" w:hAnsi="Noto Sans" w:cs="Noto Sans"/>
          <w:sz w:val="20"/>
          <w:szCs w:val="20"/>
          <w:lang w:val="es"/>
        </w:rPr>
        <w:br/>
      </w:r>
      <w:hyperlink r:id="rId10" w:history="1">
        <w:r w:rsidRPr="00DD4585">
          <w:rPr>
            <w:rStyle w:val="Hyperlink"/>
            <w:rFonts w:ascii="Noto Sans" w:hAnsi="Noto Sans" w:cs="Noto Sans"/>
            <w:sz w:val="20"/>
            <w:szCs w:val="20"/>
            <w:lang w:val="es-ES"/>
          </w:rPr>
          <w:t>Jade.Taylor-Salazar@domino-uk.com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lastRenderedPageBreak/>
        <w:br/>
        <w:t xml:space="preserve">Dafne Petracca </w:t>
      </w:r>
      <w:r w:rsidRPr="00BC0A81">
        <w:rPr>
          <w:rFonts w:ascii="Noto Sans" w:hAnsi="Noto Sans" w:cs="Noto Sans"/>
          <w:sz w:val="20"/>
          <w:szCs w:val="20"/>
        </w:rPr>
        <w:t>Rodríguez</w:t>
      </w:r>
      <w:r w:rsidR="00F532C9">
        <w:rPr>
          <w:rFonts w:ascii="Noto Sans" w:hAnsi="Noto Sans" w:cs="Noto Sans"/>
          <w:sz w:val="20"/>
          <w:szCs w:val="20"/>
        </w:rPr>
        <w:br/>
      </w:r>
      <w:r>
        <w:rPr>
          <w:rFonts w:ascii="Noto Sans" w:hAnsi="Noto Sans" w:cs="Noto Sans"/>
          <w:sz w:val="20"/>
          <w:szCs w:val="20"/>
          <w:lang w:val="es"/>
        </w:rPr>
        <w:t>Coordinadora de marketing</w:t>
      </w:r>
      <w:r>
        <w:rPr>
          <w:rFonts w:ascii="Noto Sans" w:hAnsi="Noto Sans" w:cs="Noto Sans"/>
          <w:sz w:val="20"/>
          <w:szCs w:val="20"/>
          <w:lang w:val="es"/>
        </w:rPr>
        <w:br/>
        <w:t>Domino España</w:t>
      </w:r>
      <w:r>
        <w:rPr>
          <w:rFonts w:ascii="Noto Sans" w:hAnsi="Noto Sans" w:cs="Noto Sans"/>
          <w:sz w:val="20"/>
          <w:szCs w:val="20"/>
          <w:lang w:val="es"/>
        </w:rPr>
        <w:br/>
        <w:t>Tel.: +34 616 074 252</w:t>
      </w:r>
      <w:r>
        <w:rPr>
          <w:rFonts w:ascii="Noto Sans" w:hAnsi="Noto Sans" w:cs="Noto Sans"/>
          <w:sz w:val="20"/>
          <w:szCs w:val="20"/>
          <w:lang w:val="es"/>
        </w:rPr>
        <w:br/>
      </w:r>
      <w:hyperlink r:id="rId11" w:history="1">
        <w:r>
          <w:rPr>
            <w:rStyle w:val="Hyperlink"/>
            <w:rFonts w:ascii="Noto Sans" w:hAnsi="Noto Sans" w:cs="Noto Sans"/>
            <w:sz w:val="20"/>
            <w:szCs w:val="20"/>
            <w:lang w:val="es"/>
          </w:rPr>
          <w:t>dafne.petracca@domino-spain.com</w:t>
        </w:r>
      </w:hyperlink>
      <w:r>
        <w:rPr>
          <w:rFonts w:ascii="Noto Sans" w:hAnsi="Noto Sans" w:cs="Noto Sans"/>
          <w:sz w:val="20"/>
          <w:szCs w:val="20"/>
          <w:lang w:val="es"/>
        </w:rPr>
        <w:t xml:space="preserve"> </w:t>
      </w:r>
      <w:r>
        <w:rPr>
          <w:rFonts w:ascii="Noto Sans" w:hAnsi="Noto Sans" w:cs="Noto Sans"/>
          <w:sz w:val="20"/>
          <w:szCs w:val="20"/>
          <w:lang w:val="es"/>
        </w:rPr>
        <w:br/>
      </w:r>
    </w:p>
    <w:sectPr w:rsidR="005524DB" w:rsidRPr="00BC0A81"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D86B8" w14:textId="77777777" w:rsidR="00617D0C" w:rsidRDefault="00617D0C" w:rsidP="00785717">
      <w:pPr>
        <w:spacing w:line="240" w:lineRule="auto"/>
      </w:pPr>
      <w:r>
        <w:separator/>
      </w:r>
    </w:p>
  </w:endnote>
  <w:endnote w:type="continuationSeparator" w:id="0">
    <w:p w14:paraId="76ECA06B" w14:textId="77777777" w:rsidR="00617D0C" w:rsidRDefault="00617D0C"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205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03DAA" w14:textId="77777777" w:rsidR="00617D0C" w:rsidRDefault="00617D0C" w:rsidP="00785717">
      <w:pPr>
        <w:spacing w:line="240" w:lineRule="auto"/>
      </w:pPr>
      <w:r>
        <w:separator/>
      </w:r>
    </w:p>
  </w:footnote>
  <w:footnote w:type="continuationSeparator" w:id="0">
    <w:p w14:paraId="4941900E" w14:textId="77777777" w:rsidR="00617D0C" w:rsidRDefault="00617D0C"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955F9"/>
    <w:rsid w:val="002C3337"/>
    <w:rsid w:val="00372E92"/>
    <w:rsid w:val="004258D5"/>
    <w:rsid w:val="00456C15"/>
    <w:rsid w:val="005272B1"/>
    <w:rsid w:val="005524DB"/>
    <w:rsid w:val="005741C7"/>
    <w:rsid w:val="005F2A20"/>
    <w:rsid w:val="0060122E"/>
    <w:rsid w:val="00617D0C"/>
    <w:rsid w:val="00647055"/>
    <w:rsid w:val="00660F46"/>
    <w:rsid w:val="00682566"/>
    <w:rsid w:val="00785717"/>
    <w:rsid w:val="008220B7"/>
    <w:rsid w:val="00823B77"/>
    <w:rsid w:val="008916A8"/>
    <w:rsid w:val="008B6461"/>
    <w:rsid w:val="008E7573"/>
    <w:rsid w:val="008F3E38"/>
    <w:rsid w:val="008F74D8"/>
    <w:rsid w:val="00931996"/>
    <w:rsid w:val="00943A95"/>
    <w:rsid w:val="009A1716"/>
    <w:rsid w:val="009A1DEC"/>
    <w:rsid w:val="009D6280"/>
    <w:rsid w:val="009E564D"/>
    <w:rsid w:val="00A34918"/>
    <w:rsid w:val="00AB11DA"/>
    <w:rsid w:val="00B12BE0"/>
    <w:rsid w:val="00B23C3C"/>
    <w:rsid w:val="00B546C5"/>
    <w:rsid w:val="00BC0A81"/>
    <w:rsid w:val="00BC7C15"/>
    <w:rsid w:val="00C063FE"/>
    <w:rsid w:val="00C44603"/>
    <w:rsid w:val="00C541FE"/>
    <w:rsid w:val="00CF1AD5"/>
    <w:rsid w:val="00E03029"/>
    <w:rsid w:val="00EC1C5A"/>
    <w:rsid w:val="00F532C9"/>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paragraph" w:styleId="Heading1">
    <w:name w:val="heading 1"/>
    <w:basedOn w:val="Normal"/>
    <w:next w:val="Normal"/>
    <w:link w:val="Heading1Char"/>
    <w:uiPriority w:val="9"/>
    <w:qFormat/>
    <w:rsid w:val="00BC0A8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customStyle="1" w:styleId="Heading1Char">
    <w:name w:val="Heading 1 Char"/>
    <w:basedOn w:val="DefaultParagraphFont"/>
    <w:link w:val="Heading1"/>
    <w:uiPriority w:val="9"/>
    <w:rsid w:val="00BC0A81"/>
    <w:rPr>
      <w:rFonts w:asciiTheme="majorHAnsi" w:eastAsiaTheme="majorEastAsia" w:hAnsiTheme="majorHAnsi" w:cstheme="majorBidi"/>
      <w:color w:val="2F5496" w:themeColor="accent1" w:themeShade="BF"/>
      <w:kern w:val="2"/>
      <w:sz w:val="40"/>
      <w:szCs w:val="40"/>
      <w14:ligatures w14:val="standardContextual"/>
    </w:rPr>
  </w:style>
  <w:style w:type="character" w:styleId="CommentReference">
    <w:name w:val="annotation reference"/>
    <w:basedOn w:val="DefaultParagraphFont"/>
    <w:uiPriority w:val="99"/>
    <w:semiHidden/>
    <w:unhideWhenUsed/>
    <w:rsid w:val="00BC0A81"/>
    <w:rPr>
      <w:sz w:val="16"/>
      <w:szCs w:val="16"/>
    </w:rPr>
  </w:style>
  <w:style w:type="paragraph" w:styleId="CommentText">
    <w:name w:val="annotation text"/>
    <w:basedOn w:val="Normal"/>
    <w:link w:val="CommentTextChar"/>
    <w:uiPriority w:val="99"/>
    <w:unhideWhenUsed/>
    <w:rsid w:val="00BC0A81"/>
    <w:pPr>
      <w:spacing w:after="160" w:line="240" w:lineRule="auto"/>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BC0A81"/>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ino-printing.com/es-es/blog/2023/how-to-reduce-food-waste-in-retail-with-2d-codes?utm_medium=non-paid&amp;utm_source=onlinepublication&amp;utm_content=when-food-safety-meets-waste-reduction-sb-es&amp;utm_campaign=2026-int-es-global-pr-cm-fy25-q4"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es-es/blog/2024/estas_listo_para_la_ley_de_modernizacion_de_inocuidad_de_los_alimentos_204?utm_medium=non-paid&amp;utm_source=onlinepublication&amp;utm_content=when-food-safety-meets-waste-reduction-sb-es&amp;utm_campaign=2026-int-es-global-pr-cm-fy25-q4"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es-es/home.aspx?utm_medium=non-paid&amp;utm_source=onlinepublication&amp;utm_content=when-food-safety-meets-waste-reduction-sb-es&amp;utm_campaign=2026-int-es-global-pr-cm-fy25-q4" TargetMode="External"/><Relationship Id="rId11" Type="http://schemas.openxmlformats.org/officeDocument/2006/relationships/hyperlink" Target="mailto:dafne.petracca@domino-spain.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file:///\\dps.local\Group\Domino\Marketing\Group_Marketing\Brand_Content_&amp;_PR_Marketing\PR\Press%20Releases\1%20PR%20info\Regional%20disclaimer%20and%20boilerplate\www.domino-spain.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14</TotalTime>
  <Pages>6</Pages>
  <Words>1648</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Jade Taylor-Salazar</cp:lastModifiedBy>
  <cp:revision>5</cp:revision>
  <dcterms:created xsi:type="dcterms:W3CDTF">2026-07-10T08:20:00Z</dcterms:created>
  <dcterms:modified xsi:type="dcterms:W3CDTF">2026-07-16T08:26:00Z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