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E693" w14:textId="77777777" w:rsidR="005051CD" w:rsidRPr="005051CD" w:rsidRDefault="005051CD" w:rsidP="00D92E46">
      <w:pPr>
        <w:spacing w:after="0" w:line="240" w:lineRule="auto"/>
        <w:jc w:val="center"/>
        <w:rPr>
          <w:rFonts w:ascii="Century Gothic" w:hAnsi="Century Gothic" w:cs="Arial"/>
          <w:b/>
          <w:bCs/>
          <w:sz w:val="20"/>
          <w:szCs w:val="20"/>
        </w:rPr>
      </w:pPr>
    </w:p>
    <w:p w14:paraId="6D9B8E48" w14:textId="729749A7" w:rsidR="000F6305" w:rsidRDefault="00D92E46" w:rsidP="00D92E46">
      <w:pPr>
        <w:spacing w:after="0" w:line="240" w:lineRule="auto"/>
        <w:jc w:val="center"/>
        <w:rPr>
          <w:rFonts w:ascii="Century Gothic" w:hAnsi="Century Gothic" w:cs="Arial"/>
          <w:b/>
          <w:bCs/>
          <w:sz w:val="32"/>
          <w:szCs w:val="32"/>
        </w:rPr>
      </w:pPr>
      <w:r w:rsidRPr="00D92E46">
        <w:rPr>
          <w:rFonts w:ascii="Century Gothic" w:hAnsi="Century Gothic" w:cs="Arial"/>
          <w:b/>
          <w:bCs/>
          <w:sz w:val="32"/>
          <w:szCs w:val="32"/>
        </w:rPr>
        <w:t>Alentejo Litoral ultrapassa Algarve e torna-se o destino preferido dos portugueses nas férias de verão</w:t>
      </w:r>
    </w:p>
    <w:p w14:paraId="4304AD23" w14:textId="77777777" w:rsidR="008D6EA3" w:rsidRPr="000638AE" w:rsidRDefault="008D6EA3" w:rsidP="00AB52FD">
      <w:pPr>
        <w:spacing w:after="0" w:line="240" w:lineRule="auto"/>
        <w:jc w:val="center"/>
        <w:rPr>
          <w:rFonts w:ascii="Century Gothic" w:hAnsi="Century Gothic" w:cs="Arial"/>
          <w:b/>
          <w:bCs/>
          <w:sz w:val="32"/>
          <w:szCs w:val="32"/>
        </w:rPr>
      </w:pPr>
    </w:p>
    <w:p w14:paraId="66D79A22" w14:textId="44298367" w:rsidR="00E70C74" w:rsidRDefault="00E24201" w:rsidP="005900D8">
      <w:pPr>
        <w:spacing w:after="0" w:line="240" w:lineRule="auto"/>
        <w:jc w:val="center"/>
        <w:rPr>
          <w:rFonts w:ascii="Century Gothic" w:eastAsia="Times New Roman" w:hAnsi="Century Gothic" w:cs="Times New Roman"/>
          <w:kern w:val="0"/>
          <w:sz w:val="22"/>
          <w:szCs w:val="22"/>
          <w:lang w:eastAsia="pt-PT"/>
          <w14:ligatures w14:val="none"/>
        </w:rPr>
      </w:pPr>
      <w:r w:rsidRPr="00E24201">
        <w:rPr>
          <w:rFonts w:ascii="Century Gothic" w:eastAsia="Times New Roman" w:hAnsi="Century Gothic" w:cs="Times New Roman"/>
          <w:kern w:val="0"/>
          <w:sz w:val="22"/>
          <w:szCs w:val="22"/>
          <w:lang w:eastAsia="pt-PT"/>
          <w14:ligatures w14:val="none"/>
        </w:rPr>
        <w:t xml:space="preserve">Estudo </w:t>
      </w:r>
      <w:r w:rsidR="005900D8" w:rsidRPr="00506750">
        <w:rPr>
          <w:rFonts w:ascii="Century Gothic" w:eastAsia="Times New Roman" w:hAnsi="Century Gothic" w:cs="Times New Roman"/>
          <w:kern w:val="0"/>
          <w:sz w:val="22"/>
          <w:szCs w:val="22"/>
          <w:lang w:eastAsia="pt-PT"/>
          <w14:ligatures w14:val="none"/>
        </w:rPr>
        <w:t>Férias dos Portugueses 2019-2026</w:t>
      </w:r>
      <w:r w:rsidR="005900D8">
        <w:rPr>
          <w:rFonts w:ascii="Century Gothic" w:eastAsia="Times New Roman" w:hAnsi="Century Gothic" w:cs="Times New Roman"/>
          <w:kern w:val="0"/>
          <w:sz w:val="22"/>
          <w:szCs w:val="22"/>
          <w:lang w:eastAsia="pt-PT"/>
          <w14:ligatures w14:val="none"/>
        </w:rPr>
        <w:t xml:space="preserve"> </w:t>
      </w:r>
      <w:r w:rsidRPr="00E24201">
        <w:rPr>
          <w:rFonts w:ascii="Century Gothic" w:eastAsia="Times New Roman" w:hAnsi="Century Gothic" w:cs="Times New Roman"/>
          <w:kern w:val="0"/>
          <w:sz w:val="22"/>
          <w:szCs w:val="22"/>
          <w:lang w:eastAsia="pt-PT"/>
          <w14:ligatures w14:val="none"/>
        </w:rPr>
        <w:t>do IPAM revela ainda que 77% recorrem ao subsídio de férias para financiar a viagem e que um em cada cinco já utiliza Inteligência Artificial para planear as férias.</w:t>
      </w:r>
    </w:p>
    <w:p w14:paraId="49E0B92E" w14:textId="77777777" w:rsidR="00E24201" w:rsidRDefault="00E24201" w:rsidP="00E70C74">
      <w:pPr>
        <w:spacing w:after="0" w:line="240" w:lineRule="auto"/>
        <w:rPr>
          <w:rFonts w:ascii="Century Gothic" w:eastAsia="Times New Roman" w:hAnsi="Century Gothic" w:cs="Times New Roman"/>
          <w:b/>
          <w:bCs/>
          <w:kern w:val="0"/>
          <w:sz w:val="22"/>
          <w:szCs w:val="22"/>
          <w:lang w:eastAsia="pt-PT"/>
          <w14:ligatures w14:val="none"/>
        </w:rPr>
      </w:pPr>
    </w:p>
    <w:p w14:paraId="496EEA18" w14:textId="736288AF" w:rsidR="00506750" w:rsidRP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p>
    <w:p w14:paraId="40BEAF15" w14:textId="2584CC1D" w:rsid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506750">
        <w:rPr>
          <w:rFonts w:ascii="Century Gothic" w:eastAsia="Times New Roman" w:hAnsi="Century Gothic" w:cs="Times New Roman"/>
          <w:b/>
          <w:bCs/>
          <w:kern w:val="0"/>
          <w:sz w:val="22"/>
          <w:szCs w:val="22"/>
          <w:lang w:eastAsia="pt-PT"/>
          <w14:ligatures w14:val="none"/>
        </w:rPr>
        <w:t xml:space="preserve">Lisboa, </w:t>
      </w:r>
      <w:r w:rsidR="005051CD">
        <w:rPr>
          <w:rFonts w:ascii="Century Gothic" w:eastAsia="Times New Roman" w:hAnsi="Century Gothic" w:cs="Times New Roman"/>
          <w:b/>
          <w:bCs/>
          <w:kern w:val="0"/>
          <w:sz w:val="22"/>
          <w:szCs w:val="22"/>
          <w:lang w:eastAsia="pt-PT"/>
          <w14:ligatures w14:val="none"/>
        </w:rPr>
        <w:t>16</w:t>
      </w:r>
      <w:r w:rsidRPr="00506750">
        <w:rPr>
          <w:rFonts w:ascii="Century Gothic" w:eastAsia="Times New Roman" w:hAnsi="Century Gothic" w:cs="Times New Roman"/>
          <w:b/>
          <w:bCs/>
          <w:kern w:val="0"/>
          <w:sz w:val="22"/>
          <w:szCs w:val="22"/>
          <w:lang w:eastAsia="pt-PT"/>
          <w14:ligatures w14:val="none"/>
        </w:rPr>
        <w:t xml:space="preserve"> de julho de 2026</w:t>
      </w:r>
      <w:r w:rsidRPr="00506750">
        <w:rPr>
          <w:rFonts w:ascii="Century Gothic" w:eastAsia="Times New Roman" w:hAnsi="Century Gothic" w:cs="Times New Roman"/>
          <w:kern w:val="0"/>
          <w:sz w:val="22"/>
          <w:szCs w:val="22"/>
          <w:lang w:eastAsia="pt-PT"/>
          <w14:ligatures w14:val="none"/>
        </w:rPr>
        <w:t xml:space="preserve"> – O Alentejo Litoral ultrapassou o Algarve e tornou-se o destino nacional preferido dos portugueses para as férias de verão, segundo </w:t>
      </w:r>
      <w:r w:rsidR="005900D8">
        <w:rPr>
          <w:rFonts w:ascii="Century Gothic" w:eastAsia="Times New Roman" w:hAnsi="Century Gothic" w:cs="Times New Roman"/>
          <w:kern w:val="0"/>
          <w:sz w:val="22"/>
          <w:szCs w:val="22"/>
          <w:lang w:eastAsia="pt-PT"/>
          <w14:ligatures w14:val="none"/>
        </w:rPr>
        <w:t>o</w:t>
      </w:r>
      <w:r w:rsidRPr="00506750">
        <w:rPr>
          <w:rFonts w:ascii="Century Gothic" w:eastAsia="Times New Roman" w:hAnsi="Century Gothic" w:cs="Times New Roman"/>
          <w:kern w:val="0"/>
          <w:sz w:val="22"/>
          <w:szCs w:val="22"/>
          <w:lang w:eastAsia="pt-PT"/>
          <w14:ligatures w14:val="none"/>
        </w:rPr>
        <w:t xml:space="preserve"> novo estudo</w:t>
      </w:r>
      <w:r w:rsidR="005900D8">
        <w:rPr>
          <w:rFonts w:ascii="Century Gothic" w:eastAsia="Times New Roman" w:hAnsi="Century Gothic" w:cs="Times New Roman"/>
          <w:kern w:val="0"/>
          <w:sz w:val="22"/>
          <w:szCs w:val="22"/>
          <w:lang w:eastAsia="pt-PT"/>
          <w14:ligatures w14:val="none"/>
        </w:rPr>
        <w:t xml:space="preserve"> </w:t>
      </w:r>
      <w:r w:rsidR="005900D8" w:rsidRPr="005900D8">
        <w:rPr>
          <w:rFonts w:ascii="Century Gothic" w:eastAsia="Times New Roman" w:hAnsi="Century Gothic" w:cs="Times New Roman"/>
          <w:b/>
          <w:bCs/>
          <w:kern w:val="0"/>
          <w:sz w:val="22"/>
          <w:szCs w:val="22"/>
          <w:lang w:eastAsia="pt-PT"/>
          <w14:ligatures w14:val="none"/>
        </w:rPr>
        <w:t>Férias dos Portugueses 2019-2026</w:t>
      </w:r>
      <w:r w:rsidR="005900D8">
        <w:rPr>
          <w:rFonts w:ascii="Century Gothic" w:eastAsia="Times New Roman" w:hAnsi="Century Gothic" w:cs="Times New Roman"/>
          <w:kern w:val="0"/>
          <w:sz w:val="22"/>
          <w:szCs w:val="22"/>
          <w:lang w:eastAsia="pt-PT"/>
          <w14:ligatures w14:val="none"/>
        </w:rPr>
        <w:t xml:space="preserve"> </w:t>
      </w:r>
      <w:r w:rsidRPr="00506750">
        <w:rPr>
          <w:rFonts w:ascii="Century Gothic" w:eastAsia="Times New Roman" w:hAnsi="Century Gothic" w:cs="Times New Roman"/>
          <w:kern w:val="0"/>
          <w:sz w:val="22"/>
          <w:szCs w:val="22"/>
          <w:lang w:eastAsia="pt-PT"/>
          <w14:ligatures w14:val="none"/>
        </w:rPr>
        <w:t>do IPAM sobre os hábitos de férias dos portugueses. Sete anos depois da primeira edição, o estudo mostra que as férias continuam a ser uma prioridade, mas revela alterações relevantes nos destinos escolhidos, no orçamento disponível e na forma como os portugueses pesquisam e planeiam as suas viagens.</w:t>
      </w:r>
    </w:p>
    <w:p w14:paraId="3A7EBE8F" w14:textId="77777777" w:rsidR="0004794B" w:rsidRPr="00506750" w:rsidRDefault="0004794B" w:rsidP="00506750">
      <w:pPr>
        <w:spacing w:after="0" w:line="240" w:lineRule="auto"/>
        <w:jc w:val="both"/>
        <w:rPr>
          <w:rFonts w:ascii="Century Gothic" w:eastAsia="Times New Roman" w:hAnsi="Century Gothic" w:cs="Times New Roman"/>
          <w:kern w:val="0"/>
          <w:sz w:val="22"/>
          <w:szCs w:val="22"/>
          <w:lang w:eastAsia="pt-PT"/>
          <w14:ligatures w14:val="none"/>
        </w:rPr>
      </w:pPr>
    </w:p>
    <w:p w14:paraId="6E4F9251" w14:textId="77777777" w:rsid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506750">
        <w:rPr>
          <w:rFonts w:ascii="Century Gothic" w:eastAsia="Times New Roman" w:hAnsi="Century Gothic" w:cs="Times New Roman"/>
          <w:kern w:val="0"/>
          <w:sz w:val="22"/>
          <w:szCs w:val="22"/>
          <w:lang w:eastAsia="pt-PT"/>
          <w14:ligatures w14:val="none"/>
        </w:rPr>
        <w:t>De acordo com os resultados</w:t>
      </w:r>
      <w:r w:rsidRPr="0004794B">
        <w:rPr>
          <w:rFonts w:ascii="Century Gothic" w:eastAsia="Times New Roman" w:hAnsi="Century Gothic" w:cs="Times New Roman"/>
          <w:b/>
          <w:bCs/>
          <w:kern w:val="0"/>
          <w:sz w:val="22"/>
          <w:szCs w:val="22"/>
          <w:lang w:eastAsia="pt-PT"/>
          <w14:ligatures w14:val="none"/>
        </w:rPr>
        <w:t>, 79% dos portugueses planeiam gozar férias este verão, face aos 85% registados em 2019.</w:t>
      </w:r>
      <w:r w:rsidRPr="00506750">
        <w:rPr>
          <w:rFonts w:ascii="Century Gothic" w:eastAsia="Times New Roman" w:hAnsi="Century Gothic" w:cs="Times New Roman"/>
          <w:kern w:val="0"/>
          <w:sz w:val="22"/>
          <w:szCs w:val="22"/>
          <w:lang w:eastAsia="pt-PT"/>
          <w14:ligatures w14:val="none"/>
        </w:rPr>
        <w:t xml:space="preserve"> Apesar desta ligeira descida, mantém-se inalterada a percentagem dos que, entre os que fazem férias, saem da sua residência habitual: 73%, o mesmo valor registado há sete anos.</w:t>
      </w:r>
    </w:p>
    <w:p w14:paraId="398AB843" w14:textId="77777777" w:rsidR="008912A7" w:rsidRPr="00506750" w:rsidRDefault="008912A7" w:rsidP="00506750">
      <w:pPr>
        <w:spacing w:after="0" w:line="240" w:lineRule="auto"/>
        <w:jc w:val="both"/>
        <w:rPr>
          <w:rFonts w:ascii="Century Gothic" w:eastAsia="Times New Roman" w:hAnsi="Century Gothic" w:cs="Times New Roman"/>
          <w:kern w:val="0"/>
          <w:sz w:val="22"/>
          <w:szCs w:val="22"/>
          <w:lang w:eastAsia="pt-PT"/>
          <w14:ligatures w14:val="none"/>
        </w:rPr>
      </w:pPr>
    </w:p>
    <w:p w14:paraId="7DAD1785" w14:textId="77777777" w:rsid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506750">
        <w:rPr>
          <w:rFonts w:ascii="Century Gothic" w:eastAsia="Times New Roman" w:hAnsi="Century Gothic" w:cs="Times New Roman"/>
          <w:kern w:val="0"/>
          <w:sz w:val="22"/>
          <w:szCs w:val="22"/>
          <w:lang w:eastAsia="pt-PT"/>
          <w14:ligatures w14:val="none"/>
        </w:rPr>
        <w:t xml:space="preserve">Entre os destinos nacionais, o </w:t>
      </w:r>
      <w:r w:rsidRPr="0004794B">
        <w:rPr>
          <w:rFonts w:ascii="Century Gothic" w:eastAsia="Times New Roman" w:hAnsi="Century Gothic" w:cs="Times New Roman"/>
          <w:b/>
          <w:bCs/>
          <w:kern w:val="0"/>
          <w:sz w:val="22"/>
          <w:szCs w:val="22"/>
          <w:lang w:eastAsia="pt-PT"/>
          <w14:ligatures w14:val="none"/>
        </w:rPr>
        <w:t>Alentejo Litoral surge agora como a principal escolha, indicado por 60% dos inquiridos que fazem férias em Portuga</w:t>
      </w:r>
      <w:r w:rsidRPr="00506750">
        <w:rPr>
          <w:rFonts w:ascii="Century Gothic" w:eastAsia="Times New Roman" w:hAnsi="Century Gothic" w:cs="Times New Roman"/>
          <w:kern w:val="0"/>
          <w:sz w:val="22"/>
          <w:szCs w:val="22"/>
          <w:lang w:eastAsia="pt-PT"/>
          <w14:ligatures w14:val="none"/>
        </w:rPr>
        <w:t xml:space="preserve">l. O Algarve, que liderava em 2019, desce de 48% para 30%, enquanto o Norte Litoral ganha expressão, passando de 13% para 38%. </w:t>
      </w:r>
      <w:r w:rsidRPr="007F60DA">
        <w:rPr>
          <w:rFonts w:ascii="Century Gothic" w:eastAsia="Times New Roman" w:hAnsi="Century Gothic" w:cs="Times New Roman"/>
          <w:b/>
          <w:bCs/>
          <w:kern w:val="0"/>
          <w:sz w:val="22"/>
          <w:szCs w:val="22"/>
          <w:lang w:eastAsia="pt-PT"/>
          <w14:ligatures w14:val="none"/>
        </w:rPr>
        <w:t>Portugal continua a ser o destino mais escolhido, mas perde peso face a 2019, passando de 61% para 50%</w:t>
      </w:r>
      <w:r w:rsidRPr="00506750">
        <w:rPr>
          <w:rFonts w:ascii="Century Gothic" w:eastAsia="Times New Roman" w:hAnsi="Century Gothic" w:cs="Times New Roman"/>
          <w:kern w:val="0"/>
          <w:sz w:val="22"/>
          <w:szCs w:val="22"/>
          <w:lang w:eastAsia="pt-PT"/>
          <w14:ligatures w14:val="none"/>
        </w:rPr>
        <w:t>, enquanto a Europa reforça a sua atratividade, subindo de 34% para 40%.</w:t>
      </w:r>
    </w:p>
    <w:p w14:paraId="1BABD263" w14:textId="77777777" w:rsidR="007F60DA" w:rsidRPr="00506750" w:rsidRDefault="007F60DA" w:rsidP="00506750">
      <w:pPr>
        <w:spacing w:after="0" w:line="240" w:lineRule="auto"/>
        <w:jc w:val="both"/>
        <w:rPr>
          <w:rFonts w:ascii="Century Gothic" w:eastAsia="Times New Roman" w:hAnsi="Century Gothic" w:cs="Times New Roman"/>
          <w:kern w:val="0"/>
          <w:sz w:val="22"/>
          <w:szCs w:val="22"/>
          <w:lang w:eastAsia="pt-PT"/>
          <w14:ligatures w14:val="none"/>
        </w:rPr>
      </w:pPr>
    </w:p>
    <w:p w14:paraId="746C514F" w14:textId="77777777" w:rsid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B03AD4">
        <w:rPr>
          <w:rFonts w:ascii="Century Gothic" w:eastAsia="Times New Roman" w:hAnsi="Century Gothic" w:cs="Times New Roman"/>
          <w:b/>
          <w:bCs/>
          <w:kern w:val="0"/>
          <w:sz w:val="22"/>
          <w:szCs w:val="22"/>
          <w:lang w:eastAsia="pt-PT"/>
          <w14:ligatures w14:val="none"/>
        </w:rPr>
        <w:t>A praia continua a ser o principal fator na escolha do destino de férias, embora tenha perdido relevância nos últimos sete anos, passando de 59% para 47%.</w:t>
      </w:r>
      <w:r w:rsidRPr="00506750">
        <w:rPr>
          <w:rFonts w:ascii="Century Gothic" w:eastAsia="Times New Roman" w:hAnsi="Century Gothic" w:cs="Times New Roman"/>
          <w:kern w:val="0"/>
          <w:sz w:val="22"/>
          <w:szCs w:val="22"/>
          <w:lang w:eastAsia="pt-PT"/>
          <w14:ligatures w14:val="none"/>
        </w:rPr>
        <w:t xml:space="preserve"> Em paralelo, critérios como o preço e a oferta cultural ganham maior importância, refletindo uma maior diversificação das motivações de viagem. A duração das férias mantém-se praticamente estável, com 57% dos inquiridos a optar por duas semanas, face aos 58% registados em 2019.</w:t>
      </w:r>
    </w:p>
    <w:p w14:paraId="4FE17FA2" w14:textId="77777777" w:rsidR="007F60DA" w:rsidRPr="00506750" w:rsidRDefault="007F60DA" w:rsidP="00506750">
      <w:pPr>
        <w:spacing w:after="0" w:line="240" w:lineRule="auto"/>
        <w:jc w:val="both"/>
        <w:rPr>
          <w:rFonts w:ascii="Century Gothic" w:eastAsia="Times New Roman" w:hAnsi="Century Gothic" w:cs="Times New Roman"/>
          <w:kern w:val="0"/>
          <w:sz w:val="22"/>
          <w:szCs w:val="22"/>
          <w:lang w:eastAsia="pt-PT"/>
          <w14:ligatures w14:val="none"/>
        </w:rPr>
      </w:pPr>
    </w:p>
    <w:p w14:paraId="7A78379C" w14:textId="77777777" w:rsid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506750">
        <w:rPr>
          <w:rFonts w:ascii="Century Gothic" w:eastAsia="Times New Roman" w:hAnsi="Century Gothic" w:cs="Times New Roman"/>
          <w:kern w:val="0"/>
          <w:sz w:val="22"/>
          <w:szCs w:val="22"/>
          <w:lang w:eastAsia="pt-PT"/>
          <w14:ligatures w14:val="none"/>
        </w:rPr>
        <w:t xml:space="preserve">Do ponto de vista financeiro, </w:t>
      </w:r>
      <w:r w:rsidRPr="001D3052">
        <w:rPr>
          <w:rFonts w:ascii="Century Gothic" w:eastAsia="Times New Roman" w:hAnsi="Century Gothic" w:cs="Times New Roman"/>
          <w:b/>
          <w:bCs/>
          <w:kern w:val="0"/>
          <w:sz w:val="22"/>
          <w:szCs w:val="22"/>
          <w:lang w:eastAsia="pt-PT"/>
          <w14:ligatures w14:val="none"/>
        </w:rPr>
        <w:t>o orçamento médio previsto para as férias de verão é de 750 euros por pessoa, um aumento de cerca de 5% face aos 712 euros registados em 2019. Ainda assim, o estudo revela sinais claros de contenção: 43% dos inquiridos afirmam que vão gastar menos do que em 2025</w:t>
      </w:r>
      <w:r w:rsidRPr="00506750">
        <w:rPr>
          <w:rFonts w:ascii="Century Gothic" w:eastAsia="Times New Roman" w:hAnsi="Century Gothic" w:cs="Times New Roman"/>
          <w:kern w:val="0"/>
          <w:sz w:val="22"/>
          <w:szCs w:val="22"/>
          <w:lang w:eastAsia="pt-PT"/>
          <w14:ligatures w14:val="none"/>
        </w:rPr>
        <w:t xml:space="preserve"> e outros 43% dizem que irão manter o mesmo nível de despesa. Apenas 14% admitem gastar mais.</w:t>
      </w:r>
    </w:p>
    <w:p w14:paraId="7BE038C8" w14:textId="77777777" w:rsidR="001D3052" w:rsidRPr="00506750" w:rsidRDefault="001D3052" w:rsidP="00506750">
      <w:pPr>
        <w:spacing w:after="0" w:line="240" w:lineRule="auto"/>
        <w:jc w:val="both"/>
        <w:rPr>
          <w:rFonts w:ascii="Century Gothic" w:eastAsia="Times New Roman" w:hAnsi="Century Gothic" w:cs="Times New Roman"/>
          <w:kern w:val="0"/>
          <w:sz w:val="22"/>
          <w:szCs w:val="22"/>
          <w:lang w:eastAsia="pt-PT"/>
          <w14:ligatures w14:val="none"/>
        </w:rPr>
      </w:pPr>
    </w:p>
    <w:p w14:paraId="70FA5BDF" w14:textId="77777777" w:rsid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506750">
        <w:rPr>
          <w:rFonts w:ascii="Century Gothic" w:eastAsia="Times New Roman" w:hAnsi="Century Gothic" w:cs="Times New Roman"/>
          <w:kern w:val="0"/>
          <w:sz w:val="22"/>
          <w:szCs w:val="22"/>
          <w:lang w:eastAsia="pt-PT"/>
          <w14:ligatures w14:val="none"/>
        </w:rPr>
        <w:t xml:space="preserve">O subsídio de férias continua a desempenhar um papel central no financiamento deste período. </w:t>
      </w:r>
      <w:r w:rsidRPr="001D3052">
        <w:rPr>
          <w:rFonts w:ascii="Century Gothic" w:eastAsia="Times New Roman" w:hAnsi="Century Gothic" w:cs="Times New Roman"/>
          <w:b/>
          <w:bCs/>
          <w:kern w:val="0"/>
          <w:sz w:val="22"/>
          <w:szCs w:val="22"/>
          <w:lang w:eastAsia="pt-PT"/>
          <w14:ligatures w14:val="none"/>
        </w:rPr>
        <w:t>Em 2026, 77% dos portugueses afirmam recorrer ao subsídio, total ou parcialmente, para suportar as despesas das férias</w:t>
      </w:r>
      <w:r w:rsidRPr="00506750">
        <w:rPr>
          <w:rFonts w:ascii="Century Gothic" w:eastAsia="Times New Roman" w:hAnsi="Century Gothic" w:cs="Times New Roman"/>
          <w:kern w:val="0"/>
          <w:sz w:val="22"/>
          <w:szCs w:val="22"/>
          <w:lang w:eastAsia="pt-PT"/>
          <w14:ligatures w14:val="none"/>
        </w:rPr>
        <w:t>. Destes, 47% utilizam-no parcialmente e 30% dependem totalmente deste rendimento para pagar as férias.</w:t>
      </w:r>
    </w:p>
    <w:p w14:paraId="706DC91D" w14:textId="77777777" w:rsidR="001D3052" w:rsidRPr="00506750" w:rsidRDefault="001D3052" w:rsidP="00506750">
      <w:pPr>
        <w:spacing w:after="0" w:line="240" w:lineRule="auto"/>
        <w:jc w:val="both"/>
        <w:rPr>
          <w:rFonts w:ascii="Century Gothic" w:eastAsia="Times New Roman" w:hAnsi="Century Gothic" w:cs="Times New Roman"/>
          <w:kern w:val="0"/>
          <w:sz w:val="22"/>
          <w:szCs w:val="22"/>
          <w:lang w:eastAsia="pt-PT"/>
          <w14:ligatures w14:val="none"/>
        </w:rPr>
      </w:pPr>
    </w:p>
    <w:p w14:paraId="4FA3721F" w14:textId="77777777" w:rsid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506750">
        <w:rPr>
          <w:rFonts w:ascii="Century Gothic" w:eastAsia="Times New Roman" w:hAnsi="Century Gothic" w:cs="Times New Roman"/>
          <w:kern w:val="0"/>
          <w:sz w:val="22"/>
          <w:szCs w:val="22"/>
          <w:lang w:eastAsia="pt-PT"/>
          <w14:ligatures w14:val="none"/>
        </w:rPr>
        <w:t xml:space="preserve">A transformação digital é outra das principais mudanças face a 2019. Atualmente, 86% dos portugueses pesquisam informação sobre férias na internet, contra 67% há sete </w:t>
      </w:r>
      <w:r w:rsidRPr="00506750">
        <w:rPr>
          <w:rFonts w:ascii="Century Gothic" w:eastAsia="Times New Roman" w:hAnsi="Century Gothic" w:cs="Times New Roman"/>
          <w:kern w:val="0"/>
          <w:sz w:val="22"/>
          <w:szCs w:val="22"/>
          <w:lang w:eastAsia="pt-PT"/>
          <w14:ligatures w14:val="none"/>
        </w:rPr>
        <w:lastRenderedPageBreak/>
        <w:t xml:space="preserve">anos. </w:t>
      </w:r>
      <w:r w:rsidRPr="001D3052">
        <w:rPr>
          <w:rFonts w:ascii="Century Gothic" w:eastAsia="Times New Roman" w:hAnsi="Century Gothic" w:cs="Times New Roman"/>
          <w:b/>
          <w:bCs/>
          <w:kern w:val="0"/>
          <w:sz w:val="22"/>
          <w:szCs w:val="22"/>
          <w:lang w:eastAsia="pt-PT"/>
          <w14:ligatures w14:val="none"/>
        </w:rPr>
        <w:t>Pela primeira vez, a Inteligência Artificial surge também como ferramenta de apoio ao planeamento das viagens, sendo utilizada por 21% dos inquiridos</w:t>
      </w:r>
      <w:r w:rsidRPr="00506750">
        <w:rPr>
          <w:rFonts w:ascii="Century Gothic" w:eastAsia="Times New Roman" w:hAnsi="Century Gothic" w:cs="Times New Roman"/>
          <w:kern w:val="0"/>
          <w:sz w:val="22"/>
          <w:szCs w:val="22"/>
          <w:lang w:eastAsia="pt-PT"/>
          <w14:ligatures w14:val="none"/>
        </w:rPr>
        <w:t xml:space="preserve"> para pesquisar destinos, alojamento ou atividades.</w:t>
      </w:r>
    </w:p>
    <w:p w14:paraId="17662FEE" w14:textId="77777777" w:rsidR="00217330" w:rsidRPr="00506750" w:rsidRDefault="00217330" w:rsidP="00506750">
      <w:pPr>
        <w:spacing w:after="0" w:line="240" w:lineRule="auto"/>
        <w:jc w:val="both"/>
        <w:rPr>
          <w:rFonts w:ascii="Century Gothic" w:eastAsia="Times New Roman" w:hAnsi="Century Gothic" w:cs="Times New Roman"/>
          <w:kern w:val="0"/>
          <w:sz w:val="22"/>
          <w:szCs w:val="22"/>
          <w:lang w:eastAsia="pt-PT"/>
          <w14:ligatures w14:val="none"/>
        </w:rPr>
      </w:pPr>
    </w:p>
    <w:p w14:paraId="4C5DEFB2" w14:textId="77777777" w:rsid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506750">
        <w:rPr>
          <w:rFonts w:ascii="Century Gothic" w:eastAsia="Times New Roman" w:hAnsi="Century Gothic" w:cs="Times New Roman"/>
          <w:kern w:val="0"/>
          <w:sz w:val="22"/>
          <w:szCs w:val="22"/>
          <w:lang w:eastAsia="pt-PT"/>
          <w14:ligatures w14:val="none"/>
        </w:rPr>
        <w:t>Nas reservas, as plataformas online são já o principal canal, utilizadas por 64% dos inquiridos. Também nas opções de alojamento se observa uma consolidação do Alojamento Local e do Airbnb, que, em conjunto, representam metade das escolhas. O hotel mantém uma expressão semelhante à registada em 2019, com 29% das preferências.</w:t>
      </w:r>
    </w:p>
    <w:p w14:paraId="4AC833E4" w14:textId="77777777" w:rsidR="001D3052" w:rsidRPr="00506750" w:rsidRDefault="001D3052" w:rsidP="00506750">
      <w:pPr>
        <w:spacing w:after="0" w:line="240" w:lineRule="auto"/>
        <w:jc w:val="both"/>
        <w:rPr>
          <w:rFonts w:ascii="Century Gothic" w:eastAsia="Times New Roman" w:hAnsi="Century Gothic" w:cs="Times New Roman"/>
          <w:kern w:val="0"/>
          <w:sz w:val="22"/>
          <w:szCs w:val="22"/>
          <w:lang w:eastAsia="pt-PT"/>
          <w14:ligatures w14:val="none"/>
        </w:rPr>
      </w:pPr>
    </w:p>
    <w:p w14:paraId="4AC150BC" w14:textId="327234F7" w:rsidR="00506750" w:rsidRPr="003A65F9" w:rsidRDefault="00506750" w:rsidP="00506750">
      <w:pPr>
        <w:spacing w:after="0" w:line="240" w:lineRule="auto"/>
        <w:jc w:val="both"/>
        <w:rPr>
          <w:rFonts w:ascii="Century Gothic" w:eastAsia="Times New Roman" w:hAnsi="Century Gothic" w:cs="Times New Roman"/>
          <w:b/>
          <w:bCs/>
          <w:kern w:val="0"/>
          <w:sz w:val="22"/>
          <w:szCs w:val="22"/>
          <w:lang w:eastAsia="pt-PT"/>
          <w14:ligatures w14:val="none"/>
        </w:rPr>
      </w:pPr>
      <w:r w:rsidRPr="00506750">
        <w:rPr>
          <w:rFonts w:ascii="Century Gothic" w:eastAsia="Times New Roman" w:hAnsi="Century Gothic" w:cs="Times New Roman"/>
          <w:kern w:val="0"/>
          <w:sz w:val="22"/>
          <w:szCs w:val="22"/>
          <w:lang w:eastAsia="pt-PT"/>
          <w14:ligatures w14:val="none"/>
        </w:rPr>
        <w:t>“</w:t>
      </w:r>
      <w:r w:rsidRPr="00C374A9">
        <w:rPr>
          <w:rFonts w:ascii="Century Gothic" w:eastAsia="Times New Roman" w:hAnsi="Century Gothic" w:cs="Times New Roman"/>
          <w:i/>
          <w:iCs/>
          <w:kern w:val="0"/>
          <w:sz w:val="22"/>
          <w:szCs w:val="22"/>
          <w:lang w:eastAsia="pt-PT"/>
          <w14:ligatures w14:val="none"/>
        </w:rPr>
        <w:t>Os resultados mostram que as férias continuam a ser encaradas pelos portugueses como um momento essencial de descanso e bem-estar. Apesar da maior contenção orçamental, observa-se uma adaptação dos comportamentos, com maior planeamento, maior recurso às ferramentas digitais e novas preferências ao nível dos destinos, tanto em Portugal como no estrangeiro</w:t>
      </w:r>
      <w:r w:rsidRPr="00506750">
        <w:rPr>
          <w:rFonts w:ascii="Century Gothic" w:eastAsia="Times New Roman" w:hAnsi="Century Gothic" w:cs="Times New Roman"/>
          <w:kern w:val="0"/>
          <w:sz w:val="22"/>
          <w:szCs w:val="22"/>
          <w:lang w:eastAsia="pt-PT"/>
          <w14:ligatures w14:val="none"/>
        </w:rPr>
        <w:t xml:space="preserve">”, </w:t>
      </w:r>
      <w:r w:rsidRPr="003A65F9">
        <w:rPr>
          <w:rFonts w:ascii="Century Gothic" w:eastAsia="Times New Roman" w:hAnsi="Century Gothic" w:cs="Times New Roman"/>
          <w:b/>
          <w:bCs/>
          <w:kern w:val="0"/>
          <w:sz w:val="22"/>
          <w:szCs w:val="22"/>
          <w:lang w:eastAsia="pt-PT"/>
          <w14:ligatures w14:val="none"/>
        </w:rPr>
        <w:t xml:space="preserve">afirma </w:t>
      </w:r>
      <w:r w:rsidR="0075740F" w:rsidRPr="003A65F9">
        <w:rPr>
          <w:rFonts w:ascii="Century Gothic" w:eastAsia="Times New Roman" w:hAnsi="Century Gothic" w:cs="Times New Roman"/>
          <w:b/>
          <w:bCs/>
          <w:kern w:val="0"/>
          <w:sz w:val="22"/>
          <w:szCs w:val="22"/>
          <w:lang w:eastAsia="pt-PT"/>
          <w14:ligatures w14:val="none"/>
        </w:rPr>
        <w:t xml:space="preserve">Mafalda </w:t>
      </w:r>
      <w:r w:rsidR="000113BE" w:rsidRPr="003A65F9">
        <w:rPr>
          <w:rFonts w:ascii="Century Gothic" w:eastAsia="Times New Roman" w:hAnsi="Century Gothic" w:cs="Times New Roman"/>
          <w:b/>
          <w:bCs/>
          <w:kern w:val="0"/>
          <w:sz w:val="22"/>
          <w:szCs w:val="22"/>
          <w:lang w:eastAsia="pt-PT"/>
          <w14:ligatures w14:val="none"/>
        </w:rPr>
        <w:t xml:space="preserve">Ferreira, </w:t>
      </w:r>
      <w:r w:rsidR="00CC415D" w:rsidRPr="003A65F9">
        <w:rPr>
          <w:rFonts w:ascii="Century Gothic" w:eastAsia="Times New Roman" w:hAnsi="Century Gothic" w:cs="Times New Roman"/>
          <w:b/>
          <w:bCs/>
          <w:kern w:val="0"/>
          <w:sz w:val="22"/>
          <w:szCs w:val="22"/>
          <w:lang w:eastAsia="pt-PT"/>
          <w14:ligatures w14:val="none"/>
        </w:rPr>
        <w:t xml:space="preserve">Professora do IPAM e </w:t>
      </w:r>
      <w:r w:rsidR="008D2BF8" w:rsidRPr="003A65F9">
        <w:rPr>
          <w:rFonts w:ascii="Century Gothic" w:eastAsia="Times New Roman" w:hAnsi="Century Gothic" w:cs="Times New Roman"/>
          <w:b/>
          <w:bCs/>
          <w:kern w:val="0"/>
          <w:sz w:val="22"/>
          <w:szCs w:val="22"/>
          <w:lang w:eastAsia="pt-PT"/>
          <w14:ligatures w14:val="none"/>
        </w:rPr>
        <w:t>c</w:t>
      </w:r>
      <w:r w:rsidR="00CC415D" w:rsidRPr="003A65F9">
        <w:rPr>
          <w:rFonts w:ascii="Century Gothic" w:eastAsia="Times New Roman" w:hAnsi="Century Gothic" w:cs="Times New Roman"/>
          <w:b/>
          <w:bCs/>
          <w:kern w:val="0"/>
          <w:sz w:val="22"/>
          <w:szCs w:val="22"/>
          <w:lang w:eastAsia="pt-PT"/>
          <w14:ligatures w14:val="none"/>
        </w:rPr>
        <w:t>o</w:t>
      </w:r>
      <w:r w:rsidR="008D2BF8" w:rsidRPr="003A65F9">
        <w:rPr>
          <w:rFonts w:ascii="Century Gothic" w:eastAsia="Times New Roman" w:hAnsi="Century Gothic" w:cs="Times New Roman"/>
          <w:b/>
          <w:bCs/>
          <w:kern w:val="0"/>
          <w:sz w:val="22"/>
          <w:szCs w:val="22"/>
          <w:lang w:eastAsia="pt-PT"/>
          <w14:ligatures w14:val="none"/>
        </w:rPr>
        <w:t xml:space="preserve">ordenadora do </w:t>
      </w:r>
      <w:r w:rsidR="00CC415D" w:rsidRPr="003A65F9">
        <w:rPr>
          <w:rFonts w:ascii="Century Gothic" w:eastAsia="Times New Roman" w:hAnsi="Century Gothic" w:cs="Times New Roman"/>
          <w:b/>
          <w:bCs/>
          <w:kern w:val="0"/>
          <w:sz w:val="22"/>
          <w:szCs w:val="22"/>
          <w:lang w:eastAsia="pt-PT"/>
          <w14:ligatures w14:val="none"/>
        </w:rPr>
        <w:t>estudo.</w:t>
      </w:r>
    </w:p>
    <w:p w14:paraId="2BB040C6" w14:textId="77777777" w:rsidR="000113BE" w:rsidRPr="00506750" w:rsidRDefault="000113BE" w:rsidP="00506750">
      <w:pPr>
        <w:spacing w:after="0" w:line="240" w:lineRule="auto"/>
        <w:jc w:val="both"/>
        <w:rPr>
          <w:rFonts w:ascii="Century Gothic" w:eastAsia="Times New Roman" w:hAnsi="Century Gothic" w:cs="Times New Roman"/>
          <w:kern w:val="0"/>
          <w:sz w:val="22"/>
          <w:szCs w:val="22"/>
          <w:lang w:eastAsia="pt-PT"/>
          <w14:ligatures w14:val="none"/>
        </w:rPr>
      </w:pPr>
    </w:p>
    <w:p w14:paraId="75432AAA" w14:textId="77777777" w:rsidR="00506750" w:rsidRPr="00506750" w:rsidRDefault="00506750" w:rsidP="00506750">
      <w:pPr>
        <w:spacing w:after="0" w:line="240" w:lineRule="auto"/>
        <w:jc w:val="both"/>
        <w:rPr>
          <w:rFonts w:ascii="Century Gothic" w:eastAsia="Times New Roman" w:hAnsi="Century Gothic" w:cs="Times New Roman"/>
          <w:kern w:val="0"/>
          <w:sz w:val="22"/>
          <w:szCs w:val="22"/>
          <w:lang w:eastAsia="pt-PT"/>
          <w14:ligatures w14:val="none"/>
        </w:rPr>
      </w:pPr>
      <w:r w:rsidRPr="00506750">
        <w:rPr>
          <w:rFonts w:ascii="Century Gothic" w:eastAsia="Times New Roman" w:hAnsi="Century Gothic" w:cs="Times New Roman"/>
          <w:kern w:val="0"/>
          <w:sz w:val="22"/>
          <w:szCs w:val="22"/>
          <w:lang w:eastAsia="pt-PT"/>
          <w14:ligatures w14:val="none"/>
        </w:rPr>
        <w:t>O estudo “Férias dos Portugueses 2019-2026” foi realizado pelo IPAM-Porto entre 15 e 26 de junho de 2026, através de questionário online e presencial, junto de uma amostra de 450 indivíduos maiores de 18 anos. A análise dá continuidade ao estudo realizado em 2019, permitindo comparar a evolução dos hábitos, orçamentos e destinos de férias dos portugueses ao longo dos últimos sete anos.</w:t>
      </w:r>
    </w:p>
    <w:p w14:paraId="7D1DED75" w14:textId="77777777" w:rsidR="003F055D" w:rsidRPr="00E70C74" w:rsidRDefault="003F055D" w:rsidP="00E24201">
      <w:pPr>
        <w:spacing w:after="0" w:line="240" w:lineRule="auto"/>
        <w:jc w:val="both"/>
        <w:rPr>
          <w:rFonts w:ascii="Century Gothic" w:eastAsia="Times New Roman" w:hAnsi="Century Gothic" w:cs="Times New Roman"/>
          <w:kern w:val="0"/>
          <w:sz w:val="22"/>
          <w:szCs w:val="22"/>
          <w:lang w:eastAsia="pt-PT"/>
          <w14:ligatures w14:val="none"/>
        </w:rPr>
      </w:pPr>
    </w:p>
    <w:p w14:paraId="5AAED58F" w14:textId="77777777" w:rsidR="008D6EA3" w:rsidRPr="005F62AF" w:rsidRDefault="008D6EA3" w:rsidP="00795D2C">
      <w:pPr>
        <w:spacing w:after="0" w:line="240" w:lineRule="auto"/>
        <w:jc w:val="both"/>
        <w:rPr>
          <w:rFonts w:ascii="Century Gothic" w:eastAsia="Times New Roman" w:hAnsi="Century Gothic" w:cs="Times New Roman"/>
          <w:kern w:val="0"/>
          <w:sz w:val="22"/>
          <w:szCs w:val="22"/>
          <w:lang w:eastAsia="pt-PT"/>
          <w14:ligatures w14:val="none"/>
        </w:rPr>
      </w:pPr>
    </w:p>
    <w:p w14:paraId="28A88D99" w14:textId="77777777" w:rsidR="005F62AF" w:rsidRDefault="005F62AF" w:rsidP="00F568B3">
      <w:pPr>
        <w:spacing w:after="0" w:line="240" w:lineRule="auto"/>
        <w:jc w:val="both"/>
        <w:rPr>
          <w:rFonts w:ascii="Century Gothic" w:eastAsia="Times New Roman" w:hAnsi="Century Gothic" w:cs="Times New Roman"/>
          <w:kern w:val="0"/>
          <w:sz w:val="22"/>
          <w:szCs w:val="22"/>
          <w:lang w:eastAsia="pt-PT"/>
          <w14:ligatures w14:val="none"/>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0AE9C5FD" w:rsidR="009C4AE2" w:rsidRPr="00506723" w:rsidRDefault="005C7C92" w:rsidP="009C4AE2">
      <w:pPr>
        <w:pStyle w:val="NormalWeb"/>
        <w:spacing w:before="0" w:beforeAutospacing="0" w:after="0" w:afterAutospacing="0"/>
        <w:rPr>
          <w:rFonts w:ascii="Century Gothic" w:hAnsi="Century Gothic"/>
          <w:sz w:val="18"/>
          <w:szCs w:val="18"/>
        </w:rPr>
      </w:pPr>
      <w:r>
        <w:rPr>
          <w:rFonts w:ascii="Century Gothic" w:hAnsi="Century Gothic"/>
          <w:sz w:val="18"/>
          <w:szCs w:val="18"/>
        </w:rPr>
        <w:t>Eunice Gaspar</w:t>
      </w:r>
      <w:r w:rsidR="009C4AE2" w:rsidRPr="00506723">
        <w:rPr>
          <w:rFonts w:ascii="Century Gothic" w:hAnsi="Century Gothic"/>
          <w:sz w:val="18"/>
          <w:szCs w:val="18"/>
        </w:rPr>
        <w:t>| </w:t>
      </w:r>
      <w:hyperlink r:id="rId11" w:history="1">
        <w:r w:rsidRPr="006F5748">
          <w:rPr>
            <w:rStyle w:val="Hiperligao"/>
            <w:rFonts w:ascii="Century Gothic" w:eastAsiaTheme="majorEastAsia" w:hAnsi="Century Gothic"/>
            <w:sz w:val="18"/>
            <w:szCs w:val="18"/>
          </w:rPr>
          <w:t>eunice.gaspar@lift.com.pt</w:t>
        </w:r>
      </w:hyperlink>
      <w:r w:rsidR="009C4AE2" w:rsidRPr="00506723">
        <w:rPr>
          <w:rFonts w:ascii="Century Gothic" w:hAnsi="Century Gothic"/>
          <w:sz w:val="18"/>
          <w:szCs w:val="18"/>
        </w:rPr>
        <w:t xml:space="preserve"> | +351</w:t>
      </w:r>
      <w:r w:rsidR="003603D4">
        <w:rPr>
          <w:rFonts w:ascii="Century Gothic" w:hAnsi="Century Gothic"/>
          <w:sz w:val="18"/>
          <w:szCs w:val="18"/>
        </w:rPr>
        <w:t> </w:t>
      </w:r>
      <w:r w:rsidR="009C4AE2" w:rsidRPr="00506723">
        <w:rPr>
          <w:rFonts w:ascii="Century Gothic" w:hAnsi="Century Gothic"/>
          <w:sz w:val="18"/>
          <w:szCs w:val="18"/>
        </w:rPr>
        <w:t>91</w:t>
      </w:r>
      <w:r>
        <w:rPr>
          <w:rFonts w:ascii="Century Gothic" w:hAnsi="Century Gothic"/>
          <w:sz w:val="18"/>
          <w:szCs w:val="18"/>
        </w:rPr>
        <w:t>1</w:t>
      </w:r>
      <w:r w:rsidR="003603D4">
        <w:rPr>
          <w:rFonts w:ascii="Century Gothic" w:hAnsi="Century Gothic"/>
          <w:sz w:val="18"/>
          <w:szCs w:val="18"/>
        </w:rPr>
        <w:t> </w:t>
      </w:r>
      <w:r>
        <w:rPr>
          <w:rFonts w:ascii="Century Gothic" w:hAnsi="Century Gothic"/>
          <w:sz w:val="18"/>
          <w:szCs w:val="18"/>
        </w:rPr>
        <w:t>774</w:t>
      </w:r>
      <w:r w:rsidR="003603D4">
        <w:rPr>
          <w:rFonts w:ascii="Century Gothic" w:hAnsi="Century Gothic"/>
          <w:sz w:val="18"/>
          <w:szCs w:val="18"/>
        </w:rPr>
        <w:t xml:space="preserve"> 428</w:t>
      </w:r>
    </w:p>
    <w:p w14:paraId="43701A95" w14:textId="07B973DB" w:rsidR="009C4AE2" w:rsidRDefault="009E7637" w:rsidP="009C4AE2">
      <w:pPr>
        <w:spacing w:after="0" w:line="240" w:lineRule="auto"/>
        <w:rPr>
          <w:rFonts w:ascii="Century Gothic" w:hAnsi="Century Gothic"/>
          <w:sz w:val="18"/>
          <w:szCs w:val="18"/>
        </w:rPr>
      </w:pPr>
      <w:r>
        <w:rPr>
          <w:rFonts w:ascii="Century Gothic" w:hAnsi="Century Gothic"/>
          <w:sz w:val="18"/>
          <w:szCs w:val="18"/>
        </w:rPr>
        <w:t xml:space="preserve">Bruna </w:t>
      </w:r>
      <w:r w:rsidR="00E92D0C">
        <w:rPr>
          <w:rFonts w:ascii="Century Gothic" w:hAnsi="Century Gothic"/>
          <w:sz w:val="18"/>
          <w:szCs w:val="18"/>
        </w:rPr>
        <w:t>Rocha</w:t>
      </w:r>
      <w:r w:rsidR="009C4AE2" w:rsidRPr="00506723">
        <w:rPr>
          <w:rFonts w:ascii="Century Gothic" w:hAnsi="Century Gothic"/>
          <w:sz w:val="18"/>
          <w:szCs w:val="18"/>
        </w:rPr>
        <w:t xml:space="preserve">| </w:t>
      </w:r>
      <w:hyperlink r:id="rId12" w:history="1">
        <w:r w:rsidR="00E92D0C" w:rsidRPr="006F5748">
          <w:rPr>
            <w:rStyle w:val="Hiperligao"/>
            <w:rFonts w:ascii="Century Gothic" w:hAnsi="Century Gothic"/>
            <w:sz w:val="18"/>
            <w:szCs w:val="18"/>
          </w:rPr>
          <w:t>bruna.rocha@lift.com.pt</w:t>
        </w:r>
      </w:hyperlink>
      <w:r w:rsidR="009C4AE2" w:rsidRPr="00506723">
        <w:rPr>
          <w:rFonts w:ascii="Century Gothic" w:hAnsi="Century Gothic"/>
          <w:sz w:val="18"/>
          <w:szCs w:val="18"/>
        </w:rPr>
        <w:t xml:space="preserve"> | +351 </w:t>
      </w:r>
      <w:r w:rsidR="005C7C92">
        <w:rPr>
          <w:rFonts w:ascii="Century Gothic" w:hAnsi="Century Gothic"/>
          <w:sz w:val="18"/>
          <w:szCs w:val="18"/>
        </w:rPr>
        <w:t>910751944</w:t>
      </w:r>
    </w:p>
    <w:p w14:paraId="06A9467C" w14:textId="77777777" w:rsidR="005C7C92" w:rsidRPr="00506723" w:rsidRDefault="005C7C92" w:rsidP="009C4AE2">
      <w:pPr>
        <w:spacing w:after="0" w:line="240" w:lineRule="auto"/>
        <w:rPr>
          <w:rFonts w:ascii="Century Gothic" w:eastAsia="Times New Roman" w:hAnsi="Century Gothic" w:cs="Times New Roman"/>
          <w:kern w:val="0"/>
          <w:sz w:val="18"/>
          <w:szCs w:val="18"/>
          <w:lang w:eastAsia="pt-PT"/>
          <w14:ligatures w14:val="none"/>
        </w:rPr>
      </w:pPr>
    </w:p>
    <w:p w14:paraId="365EE5E7" w14:textId="77777777" w:rsidR="00BF69BA" w:rsidRDefault="00BF69BA" w:rsidP="00BF69BA">
      <w:pPr>
        <w:spacing w:after="0" w:line="240" w:lineRule="auto"/>
        <w:rPr>
          <w:rFonts w:ascii="Century Gothic" w:eastAsia="Century Gothic" w:hAnsi="Century Gothic" w:cs="Century Gothic"/>
          <w:b/>
          <w:bCs/>
          <w:color w:val="000000" w:themeColor="text1"/>
          <w:sz w:val="16"/>
          <w:szCs w:val="16"/>
        </w:rPr>
      </w:pPr>
    </w:p>
    <w:p w14:paraId="39416141" w14:textId="34B8F369" w:rsidR="001F0885" w:rsidRPr="00506723" w:rsidRDefault="001F0885" w:rsidP="00BF69BA">
      <w:pPr>
        <w:spacing w:after="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BF69BA">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2B4D2E1A" w14:textId="185692E5" w:rsidR="001F0885" w:rsidRPr="00506723" w:rsidRDefault="001F0885" w:rsidP="00117AA9">
      <w:pPr>
        <w:spacing w:after="0" w:line="240" w:lineRule="auto"/>
        <w:jc w:val="both"/>
        <w:rPr>
          <w:rFonts w:ascii="Century Gothic" w:hAnsi="Century Gothic"/>
          <w:sz w:val="28"/>
        </w:rPr>
      </w:pPr>
      <w:r w:rsidRPr="00506723">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506723">
          <w:rPr>
            <w:rStyle w:val="Hiperligao"/>
            <w:rFonts w:ascii="Century Gothic" w:eastAsia="Century Gothic" w:hAnsi="Century Gothic" w:cs="Century Gothic"/>
            <w:sz w:val="16"/>
            <w:szCs w:val="16"/>
          </w:rPr>
          <w:t>www.ipam.pt</w:t>
        </w:r>
      </w:hyperlink>
    </w:p>
    <w:sectPr w:rsidR="001F0885" w:rsidRPr="00506723" w:rsidSect="003A65E1">
      <w:headerReference w:type="default" r:id="rId14"/>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101E" w14:textId="77777777" w:rsidR="00164436" w:rsidRDefault="00164436" w:rsidP="002F5AFD">
      <w:pPr>
        <w:spacing w:after="0" w:line="240" w:lineRule="auto"/>
      </w:pPr>
      <w:r>
        <w:separator/>
      </w:r>
    </w:p>
  </w:endnote>
  <w:endnote w:type="continuationSeparator" w:id="0">
    <w:p w14:paraId="6C0D5438" w14:textId="77777777" w:rsidR="00164436" w:rsidRDefault="00164436"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AE25" w14:textId="77777777" w:rsidR="00164436" w:rsidRDefault="00164436" w:rsidP="002F5AFD">
      <w:pPr>
        <w:spacing w:after="0" w:line="240" w:lineRule="auto"/>
      </w:pPr>
      <w:r>
        <w:separator/>
      </w:r>
    </w:p>
  </w:footnote>
  <w:footnote w:type="continuationSeparator" w:id="0">
    <w:p w14:paraId="6EA221B7" w14:textId="77777777" w:rsidR="00164436" w:rsidRDefault="00164436"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Cabealho"/>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18981D2B" w14:textId="77777777" w:rsidR="002F5AFD" w:rsidRDefault="002F5AFD" w:rsidP="002F5AF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45"/>
    <w:multiLevelType w:val="hybridMultilevel"/>
    <w:tmpl w:val="39C464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9295B"/>
    <w:multiLevelType w:val="hybridMultilevel"/>
    <w:tmpl w:val="85D817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5557E"/>
    <w:multiLevelType w:val="hybridMultilevel"/>
    <w:tmpl w:val="10140F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656151537">
    <w:abstractNumId w:val="8"/>
  </w:num>
  <w:num w:numId="2" w16cid:durableId="1799252266">
    <w:abstractNumId w:val="13"/>
  </w:num>
  <w:num w:numId="3" w16cid:durableId="389155551">
    <w:abstractNumId w:val="10"/>
  </w:num>
  <w:num w:numId="4" w16cid:durableId="1731268394">
    <w:abstractNumId w:val="15"/>
  </w:num>
  <w:num w:numId="5" w16cid:durableId="65568608">
    <w:abstractNumId w:val="2"/>
  </w:num>
  <w:num w:numId="6" w16cid:durableId="1359814169">
    <w:abstractNumId w:val="14"/>
  </w:num>
  <w:num w:numId="7" w16cid:durableId="69540939">
    <w:abstractNumId w:val="1"/>
  </w:num>
  <w:num w:numId="8" w16cid:durableId="1090275830">
    <w:abstractNumId w:val="19"/>
  </w:num>
  <w:num w:numId="9" w16cid:durableId="708534837">
    <w:abstractNumId w:val="18"/>
  </w:num>
  <w:num w:numId="10" w16cid:durableId="1489982560">
    <w:abstractNumId w:val="7"/>
  </w:num>
  <w:num w:numId="11" w16cid:durableId="1496412406">
    <w:abstractNumId w:val="3"/>
  </w:num>
  <w:num w:numId="12" w16cid:durableId="1870415016">
    <w:abstractNumId w:val="5"/>
  </w:num>
  <w:num w:numId="13" w16cid:durableId="472017281">
    <w:abstractNumId w:val="17"/>
  </w:num>
  <w:num w:numId="14" w16cid:durableId="1663850518">
    <w:abstractNumId w:val="12"/>
  </w:num>
  <w:num w:numId="15" w16cid:durableId="1402362253">
    <w:abstractNumId w:val="4"/>
  </w:num>
  <w:num w:numId="16" w16cid:durableId="393092393">
    <w:abstractNumId w:val="6"/>
  </w:num>
  <w:num w:numId="17" w16cid:durableId="125201039">
    <w:abstractNumId w:val="9"/>
  </w:num>
  <w:num w:numId="18" w16cid:durableId="1671983563">
    <w:abstractNumId w:val="16"/>
  </w:num>
  <w:num w:numId="19" w16cid:durableId="1351103846">
    <w:abstractNumId w:val="11"/>
  </w:num>
  <w:num w:numId="20" w16cid:durableId="1494449914">
    <w:abstractNumId w:val="0"/>
  </w:num>
  <w:num w:numId="21" w16cid:durableId="267735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113BE"/>
    <w:rsid w:val="00036CB3"/>
    <w:rsid w:val="0004385B"/>
    <w:rsid w:val="0004794B"/>
    <w:rsid w:val="0005182E"/>
    <w:rsid w:val="000638AE"/>
    <w:rsid w:val="00090899"/>
    <w:rsid w:val="00092CF2"/>
    <w:rsid w:val="000D3FAA"/>
    <w:rsid w:val="000F112D"/>
    <w:rsid w:val="000F6305"/>
    <w:rsid w:val="000F76A6"/>
    <w:rsid w:val="00111A26"/>
    <w:rsid w:val="00117AA9"/>
    <w:rsid w:val="001207CD"/>
    <w:rsid w:val="00157202"/>
    <w:rsid w:val="00157D97"/>
    <w:rsid w:val="00164436"/>
    <w:rsid w:val="001663EE"/>
    <w:rsid w:val="00191EAF"/>
    <w:rsid w:val="00195E00"/>
    <w:rsid w:val="001B6546"/>
    <w:rsid w:val="001C644D"/>
    <w:rsid w:val="001C7B23"/>
    <w:rsid w:val="001D3052"/>
    <w:rsid w:val="001D529F"/>
    <w:rsid w:val="001F0885"/>
    <w:rsid w:val="00207E42"/>
    <w:rsid w:val="00217330"/>
    <w:rsid w:val="00221472"/>
    <w:rsid w:val="00221B2A"/>
    <w:rsid w:val="0029674D"/>
    <w:rsid w:val="00297B8F"/>
    <w:rsid w:val="002A3363"/>
    <w:rsid w:val="002C048E"/>
    <w:rsid w:val="002D1E2F"/>
    <w:rsid w:val="002E6AE4"/>
    <w:rsid w:val="002F5AFD"/>
    <w:rsid w:val="003037C6"/>
    <w:rsid w:val="0030509A"/>
    <w:rsid w:val="00305E7A"/>
    <w:rsid w:val="00306939"/>
    <w:rsid w:val="00320E33"/>
    <w:rsid w:val="00334F76"/>
    <w:rsid w:val="00337AB2"/>
    <w:rsid w:val="003421AE"/>
    <w:rsid w:val="003603D4"/>
    <w:rsid w:val="00370036"/>
    <w:rsid w:val="00394DA9"/>
    <w:rsid w:val="003A65E1"/>
    <w:rsid w:val="003A65F9"/>
    <w:rsid w:val="003D427F"/>
    <w:rsid w:val="003E0442"/>
    <w:rsid w:val="003E7110"/>
    <w:rsid w:val="003F055D"/>
    <w:rsid w:val="003F1362"/>
    <w:rsid w:val="003F4A4E"/>
    <w:rsid w:val="00407EB4"/>
    <w:rsid w:val="0044462A"/>
    <w:rsid w:val="004730CB"/>
    <w:rsid w:val="00482D19"/>
    <w:rsid w:val="004C764F"/>
    <w:rsid w:val="004D6A21"/>
    <w:rsid w:val="004E5288"/>
    <w:rsid w:val="005051CD"/>
    <w:rsid w:val="00506723"/>
    <w:rsid w:val="00506750"/>
    <w:rsid w:val="00522E7C"/>
    <w:rsid w:val="00534D93"/>
    <w:rsid w:val="0055105F"/>
    <w:rsid w:val="005676E3"/>
    <w:rsid w:val="00572FDD"/>
    <w:rsid w:val="00574655"/>
    <w:rsid w:val="00581438"/>
    <w:rsid w:val="005900D8"/>
    <w:rsid w:val="005A41DD"/>
    <w:rsid w:val="005A7843"/>
    <w:rsid w:val="005B20BA"/>
    <w:rsid w:val="005B22F4"/>
    <w:rsid w:val="005C12DC"/>
    <w:rsid w:val="005C7C92"/>
    <w:rsid w:val="005D0B33"/>
    <w:rsid w:val="005D37E2"/>
    <w:rsid w:val="005D67D3"/>
    <w:rsid w:val="005E0ECC"/>
    <w:rsid w:val="005E3999"/>
    <w:rsid w:val="005F62AF"/>
    <w:rsid w:val="006112D6"/>
    <w:rsid w:val="0061460C"/>
    <w:rsid w:val="006155B1"/>
    <w:rsid w:val="00624745"/>
    <w:rsid w:val="0063172D"/>
    <w:rsid w:val="006324C7"/>
    <w:rsid w:val="0065047A"/>
    <w:rsid w:val="00650547"/>
    <w:rsid w:val="00655A3D"/>
    <w:rsid w:val="006578D2"/>
    <w:rsid w:val="0066401C"/>
    <w:rsid w:val="0068486F"/>
    <w:rsid w:val="006877FA"/>
    <w:rsid w:val="006944FD"/>
    <w:rsid w:val="00694677"/>
    <w:rsid w:val="007047D5"/>
    <w:rsid w:val="00712687"/>
    <w:rsid w:val="0072183C"/>
    <w:rsid w:val="00726F80"/>
    <w:rsid w:val="00737551"/>
    <w:rsid w:val="007533B3"/>
    <w:rsid w:val="0075740F"/>
    <w:rsid w:val="007639AB"/>
    <w:rsid w:val="0077045F"/>
    <w:rsid w:val="00772FC0"/>
    <w:rsid w:val="00775157"/>
    <w:rsid w:val="00777F04"/>
    <w:rsid w:val="00795D2C"/>
    <w:rsid w:val="007A18F3"/>
    <w:rsid w:val="007B6224"/>
    <w:rsid w:val="007C17FD"/>
    <w:rsid w:val="007D4F91"/>
    <w:rsid w:val="007D5DE2"/>
    <w:rsid w:val="007E2BFB"/>
    <w:rsid w:val="007F60DA"/>
    <w:rsid w:val="00800B39"/>
    <w:rsid w:val="0081044C"/>
    <w:rsid w:val="00830950"/>
    <w:rsid w:val="00830A84"/>
    <w:rsid w:val="008512E9"/>
    <w:rsid w:val="0085493E"/>
    <w:rsid w:val="00867686"/>
    <w:rsid w:val="008912A7"/>
    <w:rsid w:val="0089298E"/>
    <w:rsid w:val="008A3A13"/>
    <w:rsid w:val="008B1DF9"/>
    <w:rsid w:val="008B2E26"/>
    <w:rsid w:val="008B342B"/>
    <w:rsid w:val="008B6A41"/>
    <w:rsid w:val="008B77DD"/>
    <w:rsid w:val="008C2AB6"/>
    <w:rsid w:val="008D2BF8"/>
    <w:rsid w:val="008D590F"/>
    <w:rsid w:val="008D6EA3"/>
    <w:rsid w:val="008E79D8"/>
    <w:rsid w:val="008F3FFA"/>
    <w:rsid w:val="00910146"/>
    <w:rsid w:val="009164E3"/>
    <w:rsid w:val="0092153B"/>
    <w:rsid w:val="00923E82"/>
    <w:rsid w:val="009244EB"/>
    <w:rsid w:val="009265AA"/>
    <w:rsid w:val="009418B1"/>
    <w:rsid w:val="00964F53"/>
    <w:rsid w:val="009742EA"/>
    <w:rsid w:val="00974C2E"/>
    <w:rsid w:val="009773C8"/>
    <w:rsid w:val="00984C78"/>
    <w:rsid w:val="0099011A"/>
    <w:rsid w:val="009A5071"/>
    <w:rsid w:val="009B0848"/>
    <w:rsid w:val="009C4AE2"/>
    <w:rsid w:val="009C75E8"/>
    <w:rsid w:val="009D2510"/>
    <w:rsid w:val="009D31C0"/>
    <w:rsid w:val="009E7637"/>
    <w:rsid w:val="00A062BF"/>
    <w:rsid w:val="00A11A84"/>
    <w:rsid w:val="00A24ED5"/>
    <w:rsid w:val="00A42C09"/>
    <w:rsid w:val="00A42DEB"/>
    <w:rsid w:val="00A51E8E"/>
    <w:rsid w:val="00A551D6"/>
    <w:rsid w:val="00A76E59"/>
    <w:rsid w:val="00A8136A"/>
    <w:rsid w:val="00A84FCC"/>
    <w:rsid w:val="00A9166E"/>
    <w:rsid w:val="00A916FC"/>
    <w:rsid w:val="00AA1741"/>
    <w:rsid w:val="00AA4E33"/>
    <w:rsid w:val="00AB08D7"/>
    <w:rsid w:val="00AB21BA"/>
    <w:rsid w:val="00AB52FD"/>
    <w:rsid w:val="00AB639F"/>
    <w:rsid w:val="00AB696D"/>
    <w:rsid w:val="00AC7184"/>
    <w:rsid w:val="00AC739D"/>
    <w:rsid w:val="00AD08EC"/>
    <w:rsid w:val="00AD6116"/>
    <w:rsid w:val="00AE3BAA"/>
    <w:rsid w:val="00AE7E0A"/>
    <w:rsid w:val="00B03AD4"/>
    <w:rsid w:val="00B1376E"/>
    <w:rsid w:val="00B421D7"/>
    <w:rsid w:val="00B44E6A"/>
    <w:rsid w:val="00B45F3C"/>
    <w:rsid w:val="00B65B17"/>
    <w:rsid w:val="00BD04DD"/>
    <w:rsid w:val="00BF69BA"/>
    <w:rsid w:val="00C031D5"/>
    <w:rsid w:val="00C05372"/>
    <w:rsid w:val="00C374A9"/>
    <w:rsid w:val="00C37B62"/>
    <w:rsid w:val="00C52C99"/>
    <w:rsid w:val="00C659E4"/>
    <w:rsid w:val="00C66918"/>
    <w:rsid w:val="00C70C8C"/>
    <w:rsid w:val="00C92F4B"/>
    <w:rsid w:val="00CB010A"/>
    <w:rsid w:val="00CC415D"/>
    <w:rsid w:val="00CC6755"/>
    <w:rsid w:val="00CE2F04"/>
    <w:rsid w:val="00CE65C1"/>
    <w:rsid w:val="00CF76A7"/>
    <w:rsid w:val="00D12976"/>
    <w:rsid w:val="00D171B4"/>
    <w:rsid w:val="00D5260C"/>
    <w:rsid w:val="00D671B7"/>
    <w:rsid w:val="00D77C23"/>
    <w:rsid w:val="00D85E89"/>
    <w:rsid w:val="00D913E2"/>
    <w:rsid w:val="00D92E46"/>
    <w:rsid w:val="00DA7228"/>
    <w:rsid w:val="00DB4724"/>
    <w:rsid w:val="00DB624A"/>
    <w:rsid w:val="00DD61B5"/>
    <w:rsid w:val="00E158C3"/>
    <w:rsid w:val="00E24201"/>
    <w:rsid w:val="00E50E06"/>
    <w:rsid w:val="00E70C74"/>
    <w:rsid w:val="00E75D3D"/>
    <w:rsid w:val="00E76A35"/>
    <w:rsid w:val="00E76ACC"/>
    <w:rsid w:val="00E81690"/>
    <w:rsid w:val="00E92D0C"/>
    <w:rsid w:val="00EC49DB"/>
    <w:rsid w:val="00ED0B21"/>
    <w:rsid w:val="00EE0CE0"/>
    <w:rsid w:val="00EE3C8B"/>
    <w:rsid w:val="00EF053C"/>
    <w:rsid w:val="00EF48BE"/>
    <w:rsid w:val="00EF55AD"/>
    <w:rsid w:val="00F04C3B"/>
    <w:rsid w:val="00F21153"/>
    <w:rsid w:val="00F212FC"/>
    <w:rsid w:val="00F217D4"/>
    <w:rsid w:val="00F27D60"/>
    <w:rsid w:val="00F32A3A"/>
    <w:rsid w:val="00F464B4"/>
    <w:rsid w:val="00F53EDC"/>
    <w:rsid w:val="00F568B3"/>
    <w:rsid w:val="00F623A2"/>
    <w:rsid w:val="00F85197"/>
    <w:rsid w:val="00F96D8B"/>
    <w:rsid w:val="00FA61C9"/>
    <w:rsid w:val="00FB22E6"/>
    <w:rsid w:val="00FB597F"/>
    <w:rsid w:val="00FC0DBC"/>
    <w:rsid w:val="00FC18AD"/>
    <w:rsid w:val="00FC2E6E"/>
    <w:rsid w:val="00FC3770"/>
    <w:rsid w:val="00FD22C9"/>
    <w:rsid w:val="00FE4B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24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DB624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24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24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24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24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24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24A"/>
    <w:rPr>
      <w:rFonts w:eastAsiaTheme="majorEastAsia" w:cstheme="majorBidi"/>
      <w:color w:val="272727" w:themeColor="text1" w:themeTint="D8"/>
    </w:rPr>
  </w:style>
  <w:style w:type="paragraph" w:styleId="Ttulo">
    <w:name w:val="Title"/>
    <w:basedOn w:val="Normal"/>
    <w:next w:val="Normal"/>
    <w:link w:val="TtuloCarte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B624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24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B624A"/>
    <w:rPr>
      <w:i/>
      <w:iCs/>
      <w:color w:val="404040" w:themeColor="text1" w:themeTint="BF"/>
    </w:rPr>
  </w:style>
  <w:style w:type="paragraph" w:styleId="PargrafodaLista">
    <w:name w:val="List Paragraph"/>
    <w:basedOn w:val="Normal"/>
    <w:uiPriority w:val="34"/>
    <w:qFormat/>
    <w:rsid w:val="00DB624A"/>
    <w:pPr>
      <w:ind w:left="720"/>
      <w:contextualSpacing/>
    </w:pPr>
  </w:style>
  <w:style w:type="character" w:styleId="nfaseIntensa">
    <w:name w:val="Intense Emphasis"/>
    <w:basedOn w:val="Tipodeletrapredefinidodopargrafo"/>
    <w:uiPriority w:val="21"/>
    <w:qFormat/>
    <w:rsid w:val="00DB624A"/>
    <w:rPr>
      <w:i/>
      <w:iCs/>
      <w:color w:val="0F4761" w:themeColor="accent1" w:themeShade="BF"/>
    </w:rPr>
  </w:style>
  <w:style w:type="paragraph" w:styleId="CitaoIntensa">
    <w:name w:val="Intense Quote"/>
    <w:basedOn w:val="Normal"/>
    <w:next w:val="Normal"/>
    <w:link w:val="CitaoIntensaCarte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B624A"/>
    <w:rPr>
      <w:i/>
      <w:iCs/>
      <w:color w:val="0F4761" w:themeColor="accent1" w:themeShade="BF"/>
    </w:rPr>
  </w:style>
  <w:style w:type="character" w:styleId="RefernciaIntensa">
    <w:name w:val="Intense Reference"/>
    <w:basedOn w:val="Tipodeletrapredefinidodopargrafo"/>
    <w:uiPriority w:val="32"/>
    <w:qFormat/>
    <w:rsid w:val="00DB624A"/>
    <w:rPr>
      <w:b/>
      <w:bCs/>
      <w:smallCaps/>
      <w:color w:val="0F4761" w:themeColor="accent1" w:themeShade="BF"/>
      <w:spacing w:val="5"/>
    </w:rPr>
  </w:style>
  <w:style w:type="character" w:styleId="Hiperligao">
    <w:name w:val="Hyperlink"/>
    <w:basedOn w:val="Tipodeletrapredefinidodopargrafo"/>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Cabealho">
    <w:name w:val="header"/>
    <w:basedOn w:val="Normal"/>
    <w:link w:val="CabealhoCarter"/>
    <w:uiPriority w:val="99"/>
    <w:unhideWhenUsed/>
    <w:rsid w:val="002F5A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F5AFD"/>
  </w:style>
  <w:style w:type="paragraph" w:styleId="Rodap">
    <w:name w:val="footer"/>
    <w:basedOn w:val="Normal"/>
    <w:link w:val="RodapCarter"/>
    <w:uiPriority w:val="99"/>
    <w:unhideWhenUsed/>
    <w:rsid w:val="002F5A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F5AFD"/>
  </w:style>
  <w:style w:type="character" w:styleId="Refdecomentrio">
    <w:name w:val="annotation reference"/>
    <w:basedOn w:val="Tipodeletrapredefinidodopargrafo"/>
    <w:uiPriority w:val="99"/>
    <w:semiHidden/>
    <w:unhideWhenUsed/>
    <w:rsid w:val="00E158C3"/>
    <w:rPr>
      <w:sz w:val="16"/>
      <w:szCs w:val="16"/>
    </w:rPr>
  </w:style>
  <w:style w:type="paragraph" w:styleId="Textodecomentrio">
    <w:name w:val="annotation text"/>
    <w:basedOn w:val="Normal"/>
    <w:link w:val="TextodecomentrioCarter"/>
    <w:uiPriority w:val="99"/>
    <w:unhideWhenUsed/>
    <w:rsid w:val="00E158C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158C3"/>
    <w:rPr>
      <w:sz w:val="20"/>
      <w:szCs w:val="20"/>
    </w:rPr>
  </w:style>
  <w:style w:type="paragraph" w:styleId="Assuntodecomentrio">
    <w:name w:val="annotation subject"/>
    <w:basedOn w:val="Textodecomentrio"/>
    <w:next w:val="Textodecomentrio"/>
    <w:link w:val="AssuntodecomentrioCarter"/>
    <w:uiPriority w:val="99"/>
    <w:semiHidden/>
    <w:unhideWhenUsed/>
    <w:rsid w:val="00E158C3"/>
    <w:rPr>
      <w:b/>
      <w:bCs/>
    </w:rPr>
  </w:style>
  <w:style w:type="character" w:customStyle="1" w:styleId="AssuntodecomentrioCarter">
    <w:name w:val="Assunto de comentário Caráter"/>
    <w:basedOn w:val="TextodecomentrioCarter"/>
    <w:link w:val="Assuntodecomentrio"/>
    <w:uiPriority w:val="99"/>
    <w:semiHidden/>
    <w:rsid w:val="00E158C3"/>
    <w:rPr>
      <w:b/>
      <w:bCs/>
      <w:sz w:val="20"/>
      <w:szCs w:val="20"/>
    </w:rPr>
  </w:style>
  <w:style w:type="paragraph" w:styleId="Textodebalo">
    <w:name w:val="Balloon Text"/>
    <w:basedOn w:val="Normal"/>
    <w:link w:val="TextodebaloCarter"/>
    <w:uiPriority w:val="99"/>
    <w:semiHidden/>
    <w:unhideWhenUsed/>
    <w:rsid w:val="006324C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324C7"/>
    <w:rPr>
      <w:rFonts w:ascii="Segoe UI" w:hAnsi="Segoe UI" w:cs="Segoe UI"/>
      <w:sz w:val="18"/>
      <w:szCs w:val="18"/>
    </w:rPr>
  </w:style>
  <w:style w:type="character" w:styleId="MenoNoResolvida">
    <w:name w:val="Unresolved Mention"/>
    <w:basedOn w:val="Tipodeletrapredefinidodopargrafo"/>
    <w:uiPriority w:val="99"/>
    <w:semiHidden/>
    <w:unhideWhenUsed/>
    <w:rsid w:val="00E92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una.roch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unice.gaspar@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0" ma:contentTypeDescription="Create a new document." ma:contentTypeScope="" ma:versionID="91d0f6a1a16f251936d6a12a6c876d50">
  <xsd:schema xmlns:xsd="http://www.w3.org/2001/XMLSchema" xmlns:xs="http://www.w3.org/2001/XMLSchema" xmlns:p="http://schemas.microsoft.com/office/2006/metadata/properties" xmlns:ns3="ba8ac7e5-b07f-4fea-965c-25c13cc33270" targetNamespace="http://schemas.microsoft.com/office/2006/metadata/properties" ma:root="true" ma:fieldsID="19463c5108bd40a5472fc0c182418d2d"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1DD26-FF9B-4245-96E7-1FB9CDBB23CB}">
  <ds:schemaRefs>
    <ds:schemaRef ds:uri="http://schemas.microsoft.com/office/2006/metadata/properties"/>
    <ds:schemaRef ds:uri="http://schemas.microsoft.com/office/infopath/2007/PartnerControls"/>
    <ds:schemaRef ds:uri="ba8ac7e5-b07f-4fea-965c-25c13cc33270"/>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ED92160C-1A00-442C-AA62-869F8E95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848</Words>
  <Characters>4554</Characters>
  <Application>Microsoft Office Word</Application>
  <DocSecurity>0</DocSecurity>
  <Lines>94</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Bruna Rocha</cp:lastModifiedBy>
  <cp:revision>51</cp:revision>
  <dcterms:created xsi:type="dcterms:W3CDTF">2026-07-03T11:34:00Z</dcterms:created>
  <dcterms:modified xsi:type="dcterms:W3CDTF">2026-07-15T16:04:00Z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