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16.07.2026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Labcon odpowiada za komunikację PR </w:t>
        <w:br w:type="textWrapping"/>
        <w:t xml:space="preserve">PsiBufet na polskim rynku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PsiBufet rozpoczyna współpracę z należącą do Group One agencją Labcon, która będzie odpowiadać za obsługę PR marki na polskim rynku.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Współpraca obejmuje prowadzenie biura prasowego, relacje z mediami oraz budowanie obecności marki na rynku. Jej celem jest wzmocnienie rozpoznawalności PsiBufet i dotarcie z komunikacją do opiekunów psów poszukujących zdrowych, bardziej świadomych rozwiązań żywieniowych.</w:t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PsiBufet to polska firma specjalizująca się w świeżym jedzeniu dla psów, obecna na rynku od 8 lat. Firma należy dziś do międzynarodowej grupy Butternut Box, a jej misją jest wspieranie zdrowia psów i codziennej radości ich opiekunów. W ofercie PsiBufet znajdują się świeże, gotowane na parze posiłki przygotowywane ze składników jakości human-grade. Każdy plan żywieniowy jest indywidualnie dopasowywany do potrzeb psa, a gotowe porcje trafiają bezpośrednio pod drzwi klientów w całej Polsce.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ramach współpracy Labcon odpowiada także za identyfikowanie obszarów, które pozwolą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wzmacniać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obecność PsiBufet na polskim rynku. Działania komunikacyjne będą skierowane zarówno do opiekunów świadomie śledzących trendy w żywieniu psów, jak i do osób poszukujących zdrowych, wygodnych rozwiązań dla swoich pupili.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D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Labcon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2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Patrycja Stanowska | Junior PR Specialist Group One</w:t>
      </w:r>
    </w:p>
    <w:p w:rsidR="00000000" w:rsidDel="00000000" w:rsidP="00000000" w:rsidRDefault="00000000" w:rsidRPr="00000000" w14:paraId="00000013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patrycja.stanowska@groupone.com.pl | +48 516 605 873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-566.9291338582677" w:right="-607.7952755905511" w:firstLine="0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  <w:sz w:val="20"/>
        <w:szCs w:val="20"/>
      </w:rPr>
      <w:drawing>
        <wp:inline distB="114300" distT="114300" distL="114300" distR="114300">
          <wp:extent cx="6570473" cy="95677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6570473" cy="956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708.6614173228347" w:firstLine="720"/>
      <w:jc w:val="center"/>
      <w:rPr/>
    </w:pPr>
    <w:r w:rsidDel="00000000" w:rsidR="00000000" w:rsidRPr="00000000">
      <w:rPr/>
      <w:drawing>
        <wp:inline distB="114300" distT="114300" distL="114300" distR="114300">
          <wp:extent cx="1509713" cy="58181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581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