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3984D" w14:textId="77777777" w:rsidR="00063423" w:rsidRDefault="00063423">
      <w:pPr>
        <w:widowControl w:val="0"/>
        <w:pBdr>
          <w:top w:val="nil"/>
          <w:left w:val="nil"/>
          <w:bottom w:val="nil"/>
          <w:right w:val="nil"/>
          <w:between w:val="nil"/>
        </w:pBdr>
        <w:spacing w:line="240" w:lineRule="auto"/>
        <w:rPr>
          <w:color w:val="000000"/>
        </w:rPr>
      </w:pPr>
    </w:p>
    <w:p w14:paraId="3253984E" w14:textId="76246BFF" w:rsidR="00063423" w:rsidRDefault="00000000">
      <w:pPr>
        <w:widowControl w:val="0"/>
        <w:pBdr>
          <w:top w:val="nil"/>
          <w:left w:val="nil"/>
          <w:bottom w:val="nil"/>
          <w:right w:val="nil"/>
          <w:between w:val="nil"/>
        </w:pBdr>
        <w:spacing w:line="240" w:lineRule="auto"/>
        <w:jc w:val="center"/>
        <w:rPr>
          <w:b/>
          <w:bCs/>
          <w:color w:val="000000"/>
          <w:sz w:val="20"/>
          <w:szCs w:val="20"/>
        </w:rPr>
      </w:pPr>
      <w:r>
        <w:rPr>
          <w:rFonts w:ascii="Calibri" w:eastAsia="Calibri" w:hAnsi="Calibri" w:cs="Calibri"/>
          <w:b/>
          <w:bCs/>
          <w:color w:val="696B6B"/>
          <w:sz w:val="18"/>
          <w:szCs w:val="18"/>
        </w:rPr>
        <w:br/>
      </w:r>
      <w:r>
        <w:rPr>
          <w:b/>
          <w:bCs/>
          <w:color w:val="000000"/>
          <w:sz w:val="20"/>
          <w:szCs w:val="20"/>
        </w:rPr>
        <w:t xml:space="preserve">Najmocniejszy drugi kwartał od 2019 roku. Deweloperzy oddali </w:t>
      </w:r>
      <w:r w:rsidR="00147C3A">
        <w:rPr>
          <w:b/>
          <w:bCs/>
          <w:color w:val="000000"/>
          <w:sz w:val="20"/>
          <w:szCs w:val="20"/>
        </w:rPr>
        <w:t>ok</w:t>
      </w:r>
      <w:r w:rsidR="00425D24">
        <w:rPr>
          <w:b/>
          <w:bCs/>
          <w:color w:val="000000"/>
          <w:sz w:val="20"/>
          <w:szCs w:val="20"/>
        </w:rPr>
        <w:t>.</w:t>
      </w:r>
      <w:r w:rsidR="00147C3A">
        <w:rPr>
          <w:b/>
          <w:bCs/>
          <w:color w:val="000000"/>
          <w:sz w:val="20"/>
          <w:szCs w:val="20"/>
        </w:rPr>
        <w:t xml:space="preserve"> </w:t>
      </w:r>
      <w:r>
        <w:rPr>
          <w:b/>
          <w:bCs/>
          <w:color w:val="000000"/>
          <w:sz w:val="20"/>
          <w:szCs w:val="20"/>
        </w:rPr>
        <w:t>1</w:t>
      </w:r>
      <w:r w:rsidR="00147C3A">
        <w:rPr>
          <w:b/>
          <w:bCs/>
          <w:color w:val="000000"/>
          <w:sz w:val="20"/>
          <w:szCs w:val="20"/>
        </w:rPr>
        <w:t>50</w:t>
      </w:r>
      <w:r>
        <w:rPr>
          <w:b/>
          <w:bCs/>
          <w:color w:val="000000"/>
          <w:sz w:val="20"/>
          <w:szCs w:val="20"/>
        </w:rPr>
        <w:t xml:space="preserve"> tys. mkw. nowej powierzchni handlowej</w:t>
      </w:r>
    </w:p>
    <w:p w14:paraId="3253984F" w14:textId="77777777" w:rsidR="00063423" w:rsidRDefault="00063423">
      <w:pPr>
        <w:widowControl w:val="0"/>
        <w:pBdr>
          <w:top w:val="nil"/>
          <w:left w:val="nil"/>
          <w:bottom w:val="nil"/>
          <w:right w:val="nil"/>
          <w:between w:val="nil"/>
        </w:pBdr>
        <w:spacing w:line="240" w:lineRule="auto"/>
        <w:jc w:val="both"/>
        <w:rPr>
          <w:b/>
          <w:bCs/>
          <w:color w:val="000000"/>
          <w:sz w:val="20"/>
          <w:szCs w:val="20"/>
        </w:rPr>
      </w:pPr>
    </w:p>
    <w:p w14:paraId="32539850" w14:textId="4F6D7184" w:rsidR="00063423" w:rsidRDefault="00000000">
      <w:pPr>
        <w:widowControl w:val="0"/>
        <w:pBdr>
          <w:top w:val="nil"/>
          <w:left w:val="nil"/>
          <w:bottom w:val="nil"/>
          <w:right w:val="nil"/>
          <w:between w:val="nil"/>
        </w:pBdr>
        <w:spacing w:line="240" w:lineRule="auto"/>
        <w:jc w:val="both"/>
        <w:rPr>
          <w:b/>
          <w:bCs/>
          <w:color w:val="000000"/>
          <w:sz w:val="20"/>
          <w:szCs w:val="20"/>
        </w:rPr>
      </w:pPr>
      <w:r>
        <w:rPr>
          <w:b/>
          <w:bCs/>
          <w:sz w:val="20"/>
          <w:szCs w:val="20"/>
        </w:rPr>
        <w:t>Eksperci</w:t>
      </w:r>
      <w:r>
        <w:rPr>
          <w:b/>
          <w:bCs/>
          <w:color w:val="000000"/>
          <w:sz w:val="20"/>
          <w:szCs w:val="20"/>
        </w:rPr>
        <w:t xml:space="preserve"> </w:t>
      </w:r>
      <w:proofErr w:type="spellStart"/>
      <w:r>
        <w:rPr>
          <w:b/>
          <w:bCs/>
          <w:color w:val="000000"/>
          <w:sz w:val="20"/>
          <w:szCs w:val="20"/>
        </w:rPr>
        <w:t>Cushman</w:t>
      </w:r>
      <w:proofErr w:type="spellEnd"/>
      <w:r>
        <w:rPr>
          <w:b/>
          <w:bCs/>
          <w:color w:val="000000"/>
          <w:sz w:val="20"/>
          <w:szCs w:val="20"/>
        </w:rPr>
        <w:t xml:space="preserve"> &amp; Wakefield w </w:t>
      </w:r>
      <w:r>
        <w:rPr>
          <w:b/>
          <w:bCs/>
          <w:sz w:val="20"/>
          <w:szCs w:val="20"/>
        </w:rPr>
        <w:t xml:space="preserve">Polsce </w:t>
      </w:r>
      <w:r>
        <w:rPr>
          <w:b/>
          <w:bCs/>
          <w:color w:val="000000"/>
          <w:sz w:val="20"/>
          <w:szCs w:val="20"/>
        </w:rPr>
        <w:t>podsumowa</w:t>
      </w:r>
      <w:r>
        <w:rPr>
          <w:b/>
          <w:bCs/>
          <w:sz w:val="20"/>
          <w:szCs w:val="20"/>
        </w:rPr>
        <w:t>li</w:t>
      </w:r>
      <w:r>
        <w:rPr>
          <w:b/>
          <w:bCs/>
          <w:color w:val="000000"/>
          <w:sz w:val="20"/>
          <w:szCs w:val="20"/>
        </w:rPr>
        <w:t xml:space="preserve"> sytuację na rynku nieruchomości handlowych po drugim kwartale 2026 roku. Okres od kwietnia do czerwca to utrzymująca się wysoka aktywność deweloperska – w tym czasie oddano do użytku </w:t>
      </w:r>
      <w:r w:rsidR="00B824D2">
        <w:rPr>
          <w:b/>
          <w:bCs/>
          <w:color w:val="000000"/>
          <w:sz w:val="20"/>
          <w:szCs w:val="20"/>
        </w:rPr>
        <w:t>około 150</w:t>
      </w:r>
      <w:r>
        <w:rPr>
          <w:b/>
          <w:bCs/>
          <w:color w:val="000000"/>
          <w:sz w:val="20"/>
          <w:szCs w:val="20"/>
        </w:rPr>
        <w:t xml:space="preserve"> tys. mkw. nowoczesnej powierzchni handlowej, co jest najlepszym wynikiem dla drugiego kwartału od 2019 roku. </w:t>
      </w:r>
      <w:r>
        <w:rPr>
          <w:b/>
          <w:bCs/>
          <w:sz w:val="20"/>
          <w:szCs w:val="20"/>
        </w:rPr>
        <w:t>W</w:t>
      </w:r>
      <w:r>
        <w:rPr>
          <w:b/>
          <w:bCs/>
          <w:color w:val="000000"/>
          <w:sz w:val="20"/>
          <w:szCs w:val="20"/>
        </w:rPr>
        <w:t xml:space="preserve"> budowie pozostaje</w:t>
      </w:r>
      <w:r w:rsidR="00B824D2">
        <w:rPr>
          <w:b/>
          <w:bCs/>
          <w:color w:val="000000"/>
          <w:sz w:val="20"/>
          <w:szCs w:val="20"/>
        </w:rPr>
        <w:t xml:space="preserve"> aż</w:t>
      </w:r>
      <w:r>
        <w:rPr>
          <w:b/>
          <w:bCs/>
          <w:color w:val="000000"/>
          <w:sz w:val="20"/>
          <w:szCs w:val="20"/>
        </w:rPr>
        <w:t xml:space="preserve"> 6</w:t>
      </w:r>
      <w:r w:rsidR="00B824D2">
        <w:rPr>
          <w:b/>
          <w:bCs/>
          <w:color w:val="000000"/>
          <w:sz w:val="20"/>
          <w:szCs w:val="20"/>
        </w:rPr>
        <w:t>5</w:t>
      </w:r>
      <w:r>
        <w:rPr>
          <w:b/>
          <w:bCs/>
          <w:color w:val="000000"/>
          <w:sz w:val="20"/>
          <w:szCs w:val="20"/>
        </w:rPr>
        <w:t xml:space="preserve">0 tys. mkw., z czego 90% stanowią parki handlowe. Jednocześnie po przejściowym osłabieniu w kwietniu poprawiły się </w:t>
      </w:r>
      <w:r w:rsidR="00456618">
        <w:rPr>
          <w:b/>
          <w:bCs/>
          <w:color w:val="000000"/>
          <w:sz w:val="20"/>
          <w:szCs w:val="20"/>
        </w:rPr>
        <w:t xml:space="preserve">wyniki </w:t>
      </w:r>
      <w:r>
        <w:rPr>
          <w:b/>
          <w:bCs/>
          <w:color w:val="000000"/>
          <w:sz w:val="20"/>
          <w:szCs w:val="20"/>
        </w:rPr>
        <w:t xml:space="preserve">zarówno </w:t>
      </w:r>
      <w:proofErr w:type="spellStart"/>
      <w:r>
        <w:rPr>
          <w:b/>
          <w:bCs/>
          <w:color w:val="000000"/>
          <w:sz w:val="20"/>
          <w:szCs w:val="20"/>
        </w:rPr>
        <w:t>odwiedzalnoś</w:t>
      </w:r>
      <w:r w:rsidR="00456618">
        <w:rPr>
          <w:b/>
          <w:bCs/>
          <w:color w:val="000000"/>
          <w:sz w:val="20"/>
          <w:szCs w:val="20"/>
        </w:rPr>
        <w:t>ci</w:t>
      </w:r>
      <w:proofErr w:type="spellEnd"/>
      <w:r>
        <w:rPr>
          <w:b/>
          <w:bCs/>
          <w:color w:val="000000"/>
          <w:sz w:val="20"/>
          <w:szCs w:val="20"/>
        </w:rPr>
        <w:t xml:space="preserve"> centrów handlowych, jak i obrot</w:t>
      </w:r>
      <w:r w:rsidR="00456618">
        <w:rPr>
          <w:b/>
          <w:bCs/>
          <w:color w:val="000000"/>
          <w:sz w:val="20"/>
          <w:szCs w:val="20"/>
        </w:rPr>
        <w:t>ów</w:t>
      </w:r>
      <w:r>
        <w:rPr>
          <w:b/>
          <w:bCs/>
          <w:color w:val="000000"/>
          <w:sz w:val="20"/>
          <w:szCs w:val="20"/>
        </w:rPr>
        <w:t xml:space="preserve"> najemców, potwierdzając odporność konsumpcji i stabilną kondycję sektora.</w:t>
      </w:r>
    </w:p>
    <w:p w14:paraId="32539851" w14:textId="77777777" w:rsidR="00063423" w:rsidRDefault="00063423">
      <w:pPr>
        <w:widowControl w:val="0"/>
        <w:pBdr>
          <w:top w:val="nil"/>
          <w:left w:val="nil"/>
          <w:bottom w:val="nil"/>
          <w:right w:val="nil"/>
          <w:between w:val="nil"/>
        </w:pBdr>
        <w:spacing w:line="240" w:lineRule="auto"/>
        <w:jc w:val="both"/>
        <w:rPr>
          <w:color w:val="000000"/>
          <w:sz w:val="20"/>
          <w:szCs w:val="20"/>
        </w:rPr>
      </w:pPr>
    </w:p>
    <w:p w14:paraId="32539852" w14:textId="77777777" w:rsidR="00063423" w:rsidRDefault="00000000">
      <w:pPr>
        <w:widowControl w:val="0"/>
        <w:pBdr>
          <w:top w:val="nil"/>
          <w:left w:val="nil"/>
          <w:bottom w:val="nil"/>
          <w:right w:val="nil"/>
          <w:between w:val="nil"/>
        </w:pBdr>
        <w:spacing w:line="240" w:lineRule="auto"/>
        <w:jc w:val="both"/>
        <w:rPr>
          <w:b/>
          <w:bCs/>
          <w:color w:val="000000"/>
          <w:sz w:val="20"/>
          <w:szCs w:val="20"/>
        </w:rPr>
      </w:pPr>
      <w:r>
        <w:rPr>
          <w:b/>
          <w:bCs/>
          <w:color w:val="000000"/>
          <w:sz w:val="20"/>
          <w:szCs w:val="20"/>
        </w:rPr>
        <w:t>Najwięcej nowej podaży od sześciu lat</w:t>
      </w:r>
    </w:p>
    <w:p w14:paraId="32539853" w14:textId="5BC56253" w:rsidR="00063423" w:rsidRDefault="00000000">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W drugim kwartale 2026 roku deweloperzy oddali do użytkowania </w:t>
      </w:r>
      <w:r w:rsidR="00AB6307">
        <w:rPr>
          <w:color w:val="000000"/>
          <w:sz w:val="20"/>
          <w:szCs w:val="20"/>
        </w:rPr>
        <w:t>około 150</w:t>
      </w:r>
      <w:r>
        <w:rPr>
          <w:color w:val="000000"/>
          <w:sz w:val="20"/>
          <w:szCs w:val="20"/>
        </w:rPr>
        <w:t xml:space="preserve"> tys. mkw. nowoczesnej powierzchni handlowej, wobec około 90 tys. mkw. rok wcześniej. Łącznie ukończono 12 nowych obiektów, z których wszystkie powstały w formacie parków handlowych. </w:t>
      </w:r>
    </w:p>
    <w:p w14:paraId="32539854" w14:textId="77777777" w:rsidR="00063423" w:rsidRDefault="00063423">
      <w:pPr>
        <w:widowControl w:val="0"/>
        <w:pBdr>
          <w:top w:val="nil"/>
          <w:left w:val="nil"/>
          <w:bottom w:val="nil"/>
          <w:right w:val="nil"/>
          <w:between w:val="nil"/>
        </w:pBdr>
        <w:spacing w:line="240" w:lineRule="auto"/>
        <w:jc w:val="both"/>
        <w:rPr>
          <w:color w:val="000000"/>
          <w:sz w:val="20"/>
          <w:szCs w:val="20"/>
        </w:rPr>
      </w:pPr>
    </w:p>
    <w:p w14:paraId="32539855" w14:textId="77777777" w:rsidR="00063423" w:rsidRDefault="00000000">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Do największych inwestycji należały BIG Dzierżoniów (ok. 16,8 tys. mkw. GLA), M Park Zawiercie (15,5 tys. mkw.) oraz </w:t>
      </w:r>
      <w:proofErr w:type="spellStart"/>
      <w:r>
        <w:rPr>
          <w:color w:val="000000"/>
          <w:sz w:val="20"/>
          <w:szCs w:val="20"/>
        </w:rPr>
        <w:t>Eurobud</w:t>
      </w:r>
      <w:proofErr w:type="spellEnd"/>
      <w:r>
        <w:rPr>
          <w:color w:val="000000"/>
          <w:sz w:val="20"/>
          <w:szCs w:val="20"/>
        </w:rPr>
        <w:t xml:space="preserve"> Park Pruszcz (10 tys. mkw.). Istotnym wydarzeniem było również zakończenie przebudowy centrum handlowego Glinki i otwarcie </w:t>
      </w:r>
      <w:proofErr w:type="spellStart"/>
      <w:r>
        <w:rPr>
          <w:color w:val="000000"/>
          <w:sz w:val="20"/>
          <w:szCs w:val="20"/>
        </w:rPr>
        <w:t>Comfy</w:t>
      </w:r>
      <w:proofErr w:type="spellEnd"/>
      <w:r>
        <w:rPr>
          <w:color w:val="000000"/>
          <w:sz w:val="20"/>
          <w:szCs w:val="20"/>
        </w:rPr>
        <w:t xml:space="preserve"> Park Bydgoszcz, który dostarczył na rynek około 16 tys. mkw. </w:t>
      </w:r>
      <w:r>
        <w:rPr>
          <w:sz w:val="20"/>
          <w:szCs w:val="20"/>
        </w:rPr>
        <w:t>powierzchni</w:t>
      </w:r>
      <w:r>
        <w:rPr>
          <w:color w:val="000000"/>
          <w:sz w:val="20"/>
          <w:szCs w:val="20"/>
        </w:rPr>
        <w:t xml:space="preserve">. </w:t>
      </w:r>
    </w:p>
    <w:p w14:paraId="32539856" w14:textId="3364E3C8" w:rsidR="00063423" w:rsidRDefault="00000000">
      <w:pPr>
        <w:widowControl w:val="0"/>
        <w:pBdr>
          <w:top w:val="nil"/>
          <w:left w:val="nil"/>
          <w:bottom w:val="nil"/>
          <w:right w:val="nil"/>
          <w:between w:val="nil"/>
        </w:pBdr>
        <w:spacing w:line="240" w:lineRule="auto"/>
        <w:jc w:val="both"/>
        <w:rPr>
          <w:b/>
          <w:bCs/>
          <w:color w:val="000000"/>
          <w:sz w:val="20"/>
          <w:szCs w:val="20"/>
        </w:rPr>
      </w:pPr>
      <w:r>
        <w:rPr>
          <w:color w:val="000000"/>
          <w:sz w:val="20"/>
          <w:szCs w:val="20"/>
        </w:rPr>
        <w:t xml:space="preserve">– </w:t>
      </w:r>
      <w:r>
        <w:rPr>
          <w:i/>
          <w:iCs/>
          <w:sz w:val="20"/>
          <w:szCs w:val="20"/>
        </w:rPr>
        <w:t>R</w:t>
      </w:r>
      <w:r>
        <w:rPr>
          <w:i/>
          <w:iCs/>
          <w:color w:val="000000"/>
          <w:sz w:val="20"/>
          <w:szCs w:val="20"/>
        </w:rPr>
        <w:t xml:space="preserve">ynek nieruchomości w Polsce dojrzewa, ale nie zwalnia – obok nowych parków handlowych znaczący udział w nowej podaży miały także rozbudowy istniejących obiektów, </w:t>
      </w:r>
      <w:r w:rsidR="007944FE">
        <w:rPr>
          <w:i/>
          <w:iCs/>
          <w:sz w:val="20"/>
          <w:szCs w:val="20"/>
        </w:rPr>
        <w:t>które dostarczyły</w:t>
      </w:r>
      <w:r>
        <w:rPr>
          <w:i/>
          <w:iCs/>
          <w:color w:val="000000"/>
          <w:sz w:val="20"/>
          <w:szCs w:val="20"/>
        </w:rPr>
        <w:t xml:space="preserve"> 3</w:t>
      </w:r>
      <w:r w:rsidR="00723CFB">
        <w:rPr>
          <w:i/>
          <w:iCs/>
          <w:color w:val="000000"/>
          <w:sz w:val="20"/>
          <w:szCs w:val="20"/>
        </w:rPr>
        <w:t>5</w:t>
      </w:r>
      <w:r>
        <w:rPr>
          <w:i/>
          <w:iCs/>
          <w:color w:val="000000"/>
          <w:sz w:val="20"/>
          <w:szCs w:val="20"/>
        </w:rPr>
        <w:t xml:space="preserve"> tys. mkw. Łączne zasoby nowoczesnej powierzchni handlowej w Polsce osiągnęły około 17,5 mln mkw. GLA. To pokazuje, że inwestorzy coraz częściej koncentrują się nie tylko na zwiększaniu skali rynku, ale również na poprawie jakości i atrakcyjności już funkcjonujących projektów</w:t>
      </w:r>
      <w:r>
        <w:rPr>
          <w:color w:val="000000"/>
          <w:sz w:val="20"/>
          <w:szCs w:val="20"/>
        </w:rPr>
        <w:t xml:space="preserve"> – mówi </w:t>
      </w:r>
      <w:r>
        <w:rPr>
          <w:b/>
          <w:bCs/>
          <w:color w:val="000000"/>
          <w:sz w:val="20"/>
          <w:szCs w:val="20"/>
        </w:rPr>
        <w:t xml:space="preserve">Ewelina Staruch, Senior </w:t>
      </w:r>
      <w:proofErr w:type="spellStart"/>
      <w:r>
        <w:rPr>
          <w:b/>
          <w:bCs/>
          <w:color w:val="000000"/>
          <w:sz w:val="20"/>
          <w:szCs w:val="20"/>
        </w:rPr>
        <w:t>Analyst</w:t>
      </w:r>
      <w:proofErr w:type="spellEnd"/>
      <w:r>
        <w:rPr>
          <w:b/>
          <w:bCs/>
          <w:color w:val="000000"/>
          <w:sz w:val="20"/>
          <w:szCs w:val="20"/>
        </w:rPr>
        <w:t xml:space="preserve">, </w:t>
      </w:r>
      <w:proofErr w:type="spellStart"/>
      <w:r>
        <w:rPr>
          <w:b/>
          <w:bCs/>
          <w:color w:val="000000"/>
          <w:sz w:val="20"/>
          <w:szCs w:val="20"/>
        </w:rPr>
        <w:t>Cushman</w:t>
      </w:r>
      <w:proofErr w:type="spellEnd"/>
      <w:r>
        <w:rPr>
          <w:b/>
          <w:bCs/>
          <w:color w:val="000000"/>
          <w:sz w:val="20"/>
          <w:szCs w:val="20"/>
        </w:rPr>
        <w:t xml:space="preserve"> &amp; Wakefield.</w:t>
      </w:r>
    </w:p>
    <w:p w14:paraId="32539857" w14:textId="77777777" w:rsidR="00063423" w:rsidRDefault="00063423">
      <w:pPr>
        <w:widowControl w:val="0"/>
        <w:pBdr>
          <w:top w:val="nil"/>
          <w:left w:val="nil"/>
          <w:bottom w:val="nil"/>
          <w:right w:val="nil"/>
          <w:between w:val="nil"/>
        </w:pBdr>
        <w:spacing w:line="240" w:lineRule="auto"/>
        <w:jc w:val="both"/>
        <w:rPr>
          <w:b/>
          <w:bCs/>
          <w:color w:val="000000"/>
          <w:sz w:val="20"/>
          <w:szCs w:val="20"/>
        </w:rPr>
      </w:pPr>
    </w:p>
    <w:p w14:paraId="32539858" w14:textId="69BD65ED" w:rsidR="00063423" w:rsidRDefault="00000000">
      <w:pPr>
        <w:widowControl w:val="0"/>
        <w:pBdr>
          <w:top w:val="nil"/>
          <w:left w:val="nil"/>
          <w:bottom w:val="nil"/>
          <w:right w:val="nil"/>
          <w:between w:val="nil"/>
        </w:pBdr>
        <w:spacing w:line="240" w:lineRule="auto"/>
        <w:jc w:val="both"/>
        <w:rPr>
          <w:color w:val="000000"/>
          <w:sz w:val="20"/>
          <w:szCs w:val="20"/>
        </w:rPr>
      </w:pPr>
      <w:r>
        <w:rPr>
          <w:color w:val="000000"/>
          <w:sz w:val="20"/>
          <w:szCs w:val="20"/>
        </w:rPr>
        <w:t>Na koniec czerwca w budowie znajdowało się 6</w:t>
      </w:r>
      <w:r w:rsidR="003A4CE0">
        <w:rPr>
          <w:color w:val="000000"/>
          <w:sz w:val="20"/>
          <w:szCs w:val="20"/>
        </w:rPr>
        <w:t>5</w:t>
      </w:r>
      <w:r>
        <w:rPr>
          <w:color w:val="000000"/>
          <w:sz w:val="20"/>
          <w:szCs w:val="20"/>
        </w:rPr>
        <w:t xml:space="preserve">0 tys. mkw. GLA nowoczesnej powierzchni handlowej. Największą aktywność deweloperską wykazują </w:t>
      </w:r>
      <w:proofErr w:type="spellStart"/>
      <w:r>
        <w:rPr>
          <w:color w:val="000000"/>
          <w:sz w:val="20"/>
          <w:szCs w:val="20"/>
        </w:rPr>
        <w:t>Saller</w:t>
      </w:r>
      <w:proofErr w:type="spellEnd"/>
      <w:r>
        <w:rPr>
          <w:color w:val="000000"/>
          <w:sz w:val="20"/>
          <w:szCs w:val="20"/>
        </w:rPr>
        <w:t xml:space="preserve">, </w:t>
      </w:r>
      <w:proofErr w:type="spellStart"/>
      <w:r>
        <w:rPr>
          <w:color w:val="000000"/>
          <w:sz w:val="20"/>
          <w:szCs w:val="20"/>
        </w:rPr>
        <w:t>Acteeum</w:t>
      </w:r>
      <w:proofErr w:type="spellEnd"/>
      <w:r>
        <w:rPr>
          <w:color w:val="000000"/>
          <w:sz w:val="20"/>
          <w:szCs w:val="20"/>
        </w:rPr>
        <w:t xml:space="preserve">, </w:t>
      </w:r>
      <w:proofErr w:type="spellStart"/>
      <w:r>
        <w:rPr>
          <w:color w:val="000000"/>
          <w:sz w:val="20"/>
          <w:szCs w:val="20"/>
        </w:rPr>
        <w:t>Redkom</w:t>
      </w:r>
      <w:proofErr w:type="spellEnd"/>
      <w:r>
        <w:rPr>
          <w:color w:val="000000"/>
          <w:sz w:val="20"/>
          <w:szCs w:val="20"/>
        </w:rPr>
        <w:t xml:space="preserve"> oraz Genesis </w:t>
      </w:r>
      <w:proofErr w:type="spellStart"/>
      <w:r>
        <w:rPr>
          <w:color w:val="000000"/>
          <w:sz w:val="20"/>
          <w:szCs w:val="20"/>
        </w:rPr>
        <w:t>Property</w:t>
      </w:r>
      <w:proofErr w:type="spellEnd"/>
      <w:r>
        <w:rPr>
          <w:color w:val="000000"/>
          <w:sz w:val="20"/>
          <w:szCs w:val="20"/>
        </w:rPr>
        <w:t xml:space="preserve">, a około 90% realizowanych inwestycji stanowią parki handlowe. </w:t>
      </w:r>
      <w:r w:rsidR="00A72650" w:rsidRPr="00A72650">
        <w:rPr>
          <w:color w:val="000000"/>
          <w:sz w:val="20"/>
          <w:szCs w:val="20"/>
        </w:rPr>
        <w:t>W porównaniu do poprzednich kwartałów relatywnie dużo powierzchni oddało się w aglomeracjach powyżej 400 tys. mieszkańców, bo 3</w:t>
      </w:r>
      <w:r w:rsidR="00425D24">
        <w:rPr>
          <w:color w:val="000000"/>
          <w:sz w:val="20"/>
          <w:szCs w:val="20"/>
        </w:rPr>
        <w:t>6</w:t>
      </w:r>
      <w:r w:rsidR="00A72650" w:rsidRPr="00A72650">
        <w:rPr>
          <w:color w:val="000000"/>
          <w:sz w:val="20"/>
          <w:szCs w:val="20"/>
        </w:rPr>
        <w:t xml:space="preserve"> tys. mkw.</w:t>
      </w:r>
    </w:p>
    <w:p w14:paraId="32539859" w14:textId="77777777" w:rsidR="00063423" w:rsidRDefault="00063423">
      <w:pPr>
        <w:widowControl w:val="0"/>
        <w:pBdr>
          <w:top w:val="nil"/>
          <w:left w:val="nil"/>
          <w:bottom w:val="nil"/>
          <w:right w:val="nil"/>
          <w:between w:val="nil"/>
        </w:pBdr>
        <w:spacing w:line="240" w:lineRule="auto"/>
        <w:jc w:val="both"/>
        <w:rPr>
          <w:color w:val="000000"/>
          <w:sz w:val="20"/>
          <w:szCs w:val="20"/>
        </w:rPr>
      </w:pPr>
    </w:p>
    <w:p w14:paraId="3253985A" w14:textId="77777777" w:rsidR="00063423" w:rsidRDefault="00000000">
      <w:pPr>
        <w:widowControl w:val="0"/>
        <w:pBdr>
          <w:top w:val="nil"/>
          <w:left w:val="nil"/>
          <w:bottom w:val="nil"/>
          <w:right w:val="nil"/>
          <w:between w:val="nil"/>
        </w:pBdr>
        <w:spacing w:line="240" w:lineRule="auto"/>
        <w:jc w:val="both"/>
        <w:rPr>
          <w:b/>
          <w:bCs/>
          <w:color w:val="000000"/>
          <w:sz w:val="20"/>
          <w:szCs w:val="20"/>
        </w:rPr>
      </w:pPr>
      <w:r>
        <w:rPr>
          <w:b/>
          <w:bCs/>
          <w:color w:val="000000"/>
          <w:sz w:val="20"/>
          <w:szCs w:val="20"/>
        </w:rPr>
        <w:t>Drugi kwartał z sześcioma debiutami zagranicznych marek</w:t>
      </w:r>
    </w:p>
    <w:p w14:paraId="3253985B" w14:textId="77777777" w:rsidR="00063423" w:rsidRDefault="00000000">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W drugim kwartale pierwsze sklepy stacjonarne w Polsce otworzyły The </w:t>
      </w:r>
      <w:proofErr w:type="spellStart"/>
      <w:r>
        <w:rPr>
          <w:color w:val="000000"/>
          <w:sz w:val="20"/>
          <w:szCs w:val="20"/>
        </w:rPr>
        <w:t>Leather</w:t>
      </w:r>
      <w:proofErr w:type="spellEnd"/>
      <w:r>
        <w:rPr>
          <w:color w:val="000000"/>
          <w:sz w:val="20"/>
          <w:szCs w:val="20"/>
        </w:rPr>
        <w:t xml:space="preserve"> Trading Co., </w:t>
      </w:r>
      <w:proofErr w:type="spellStart"/>
      <w:r>
        <w:rPr>
          <w:color w:val="000000"/>
          <w:sz w:val="20"/>
          <w:szCs w:val="20"/>
        </w:rPr>
        <w:t>Ksisters</w:t>
      </w:r>
      <w:proofErr w:type="spellEnd"/>
      <w:r>
        <w:rPr>
          <w:color w:val="000000"/>
          <w:sz w:val="20"/>
          <w:szCs w:val="20"/>
        </w:rPr>
        <w:t xml:space="preserve">, </w:t>
      </w:r>
      <w:proofErr w:type="spellStart"/>
      <w:r>
        <w:rPr>
          <w:color w:val="000000"/>
          <w:sz w:val="20"/>
          <w:szCs w:val="20"/>
        </w:rPr>
        <w:t>Søstrene</w:t>
      </w:r>
      <w:proofErr w:type="spellEnd"/>
      <w:r>
        <w:rPr>
          <w:color w:val="000000"/>
          <w:sz w:val="20"/>
          <w:szCs w:val="20"/>
        </w:rPr>
        <w:t xml:space="preserve"> </w:t>
      </w:r>
      <w:proofErr w:type="spellStart"/>
      <w:r>
        <w:rPr>
          <w:color w:val="000000"/>
          <w:sz w:val="20"/>
          <w:szCs w:val="20"/>
        </w:rPr>
        <w:t>Grene</w:t>
      </w:r>
      <w:proofErr w:type="spellEnd"/>
      <w:r>
        <w:rPr>
          <w:color w:val="000000"/>
          <w:sz w:val="20"/>
          <w:szCs w:val="20"/>
        </w:rPr>
        <w:t xml:space="preserve">, </w:t>
      </w:r>
      <w:proofErr w:type="spellStart"/>
      <w:r>
        <w:rPr>
          <w:color w:val="000000"/>
          <w:sz w:val="20"/>
          <w:szCs w:val="20"/>
        </w:rPr>
        <w:t>Trussardi</w:t>
      </w:r>
      <w:proofErr w:type="spellEnd"/>
      <w:r>
        <w:rPr>
          <w:color w:val="000000"/>
          <w:sz w:val="20"/>
          <w:szCs w:val="20"/>
        </w:rPr>
        <w:t xml:space="preserve">, </w:t>
      </w:r>
      <w:proofErr w:type="spellStart"/>
      <w:r>
        <w:rPr>
          <w:color w:val="000000"/>
          <w:sz w:val="20"/>
          <w:szCs w:val="20"/>
        </w:rPr>
        <w:t>PadelCity</w:t>
      </w:r>
      <w:proofErr w:type="spellEnd"/>
      <w:r>
        <w:rPr>
          <w:color w:val="000000"/>
          <w:sz w:val="20"/>
          <w:szCs w:val="20"/>
        </w:rPr>
        <w:t xml:space="preserve"> oraz IWC Schaffhausen.</w:t>
      </w:r>
    </w:p>
    <w:p w14:paraId="3253985C" w14:textId="77777777" w:rsidR="00063423" w:rsidRDefault="00063423">
      <w:pPr>
        <w:widowControl w:val="0"/>
        <w:pBdr>
          <w:top w:val="nil"/>
          <w:left w:val="nil"/>
          <w:bottom w:val="nil"/>
          <w:right w:val="nil"/>
          <w:between w:val="nil"/>
        </w:pBdr>
        <w:spacing w:line="240" w:lineRule="auto"/>
        <w:jc w:val="both"/>
        <w:rPr>
          <w:color w:val="000000"/>
          <w:sz w:val="20"/>
          <w:szCs w:val="20"/>
        </w:rPr>
      </w:pPr>
    </w:p>
    <w:p w14:paraId="6EF9BEE0" w14:textId="5439EB65" w:rsidR="00425D24" w:rsidRDefault="00425D24" w:rsidP="00425D24">
      <w:pPr>
        <w:widowControl w:val="0"/>
        <w:pBdr>
          <w:top w:val="nil"/>
          <w:left w:val="nil"/>
          <w:bottom w:val="nil"/>
          <w:right w:val="nil"/>
          <w:between w:val="nil"/>
        </w:pBdr>
        <w:spacing w:line="240" w:lineRule="auto"/>
        <w:jc w:val="both"/>
        <w:rPr>
          <w:color w:val="000000"/>
          <w:sz w:val="20"/>
          <w:szCs w:val="20"/>
          <w:lang w:val="pl-PL"/>
        </w:rPr>
      </w:pPr>
      <w:r w:rsidRPr="00425D24">
        <w:rPr>
          <w:color w:val="000000"/>
          <w:sz w:val="20"/>
          <w:szCs w:val="20"/>
          <w:lang w:val="pl-PL"/>
        </w:rPr>
        <w:t>W ciągu ostatnich dziesięciu lat najwięcej zagranicznych marek weszło do Polski z Włoch, Stanów Zjednoczonych oraz Niemiec, co potwierdza utrzymującą się atrakcyjność polskiego rynku dla międzynarodowych sieci handlowych. Stabilny pozostaje również napływ marek francuskich, które od lat konsekwentnie rozwijają swoją obecność w Polsce.</w:t>
      </w:r>
    </w:p>
    <w:p w14:paraId="40C4B169" w14:textId="77777777" w:rsidR="00425D24" w:rsidRPr="00425D24" w:rsidRDefault="00425D24" w:rsidP="00425D24">
      <w:pPr>
        <w:widowControl w:val="0"/>
        <w:pBdr>
          <w:top w:val="nil"/>
          <w:left w:val="nil"/>
          <w:bottom w:val="nil"/>
          <w:right w:val="nil"/>
          <w:between w:val="nil"/>
        </w:pBdr>
        <w:spacing w:line="240" w:lineRule="auto"/>
        <w:jc w:val="both"/>
        <w:rPr>
          <w:color w:val="000000"/>
          <w:sz w:val="20"/>
          <w:szCs w:val="20"/>
          <w:lang w:val="en-PL"/>
        </w:rPr>
      </w:pPr>
    </w:p>
    <w:p w14:paraId="7E1C933A" w14:textId="12915C21" w:rsidR="00425D24" w:rsidRPr="00425D24" w:rsidRDefault="00425D24" w:rsidP="00425D24">
      <w:pPr>
        <w:widowControl w:val="0"/>
        <w:pBdr>
          <w:top w:val="nil"/>
          <w:left w:val="nil"/>
          <w:bottom w:val="nil"/>
          <w:right w:val="nil"/>
          <w:between w:val="nil"/>
        </w:pBdr>
        <w:spacing w:line="240" w:lineRule="auto"/>
        <w:jc w:val="both"/>
        <w:rPr>
          <w:color w:val="000000"/>
          <w:sz w:val="20"/>
          <w:szCs w:val="20"/>
          <w:lang w:val="en-PL"/>
        </w:rPr>
      </w:pPr>
      <w:r>
        <w:rPr>
          <w:color w:val="000000"/>
          <w:sz w:val="20"/>
          <w:szCs w:val="20"/>
          <w:lang w:val="pl-PL"/>
        </w:rPr>
        <w:t xml:space="preserve">– </w:t>
      </w:r>
      <w:r w:rsidRPr="00425D24">
        <w:rPr>
          <w:i/>
          <w:iCs/>
          <w:color w:val="000000"/>
          <w:sz w:val="20"/>
          <w:szCs w:val="20"/>
          <w:lang w:val="pl-PL"/>
        </w:rPr>
        <w:t xml:space="preserve">Po pandemii COVID-19 wyraźnie zmienia się struktura pochodzenia nowych marek wchodzących na polski rynek – rośnie aktywność </w:t>
      </w:r>
      <w:proofErr w:type="spellStart"/>
      <w:r w:rsidRPr="00425D24">
        <w:rPr>
          <w:i/>
          <w:iCs/>
          <w:color w:val="000000"/>
          <w:sz w:val="20"/>
          <w:szCs w:val="20"/>
          <w:lang w:val="pl-PL"/>
        </w:rPr>
        <w:t>brandów</w:t>
      </w:r>
      <w:proofErr w:type="spellEnd"/>
      <w:r w:rsidRPr="00425D24">
        <w:rPr>
          <w:i/>
          <w:iCs/>
          <w:color w:val="000000"/>
          <w:sz w:val="20"/>
          <w:szCs w:val="20"/>
          <w:lang w:val="pl-PL"/>
        </w:rPr>
        <w:t xml:space="preserve"> ze Skandynawii, a od 2022 roku także z Ukrainy. Coraz większą rolę odgrywają również marki azjatyckie, w szczególności z Chin, Korei Południowej, Japonii czy Malezji, poszerzając spektrum zagranicznych marek obecnych na polskim rynku</w:t>
      </w:r>
      <w:r>
        <w:rPr>
          <w:color w:val="000000"/>
          <w:sz w:val="20"/>
          <w:szCs w:val="20"/>
          <w:lang w:val="pl-PL"/>
        </w:rPr>
        <w:t xml:space="preserve"> –</w:t>
      </w:r>
      <w:r w:rsidRPr="00425D24">
        <w:rPr>
          <w:color w:val="000000"/>
          <w:sz w:val="20"/>
          <w:szCs w:val="20"/>
          <w:lang w:val="pl-PL"/>
        </w:rPr>
        <w:t xml:space="preserve"> komentuje</w:t>
      </w:r>
      <w:r w:rsidRPr="00425D24">
        <w:rPr>
          <w:b/>
          <w:bCs/>
          <w:color w:val="000000"/>
          <w:sz w:val="20"/>
          <w:szCs w:val="20"/>
          <w:lang w:val="pl-PL"/>
        </w:rPr>
        <w:t> Ewa Derlatka-</w:t>
      </w:r>
      <w:proofErr w:type="spellStart"/>
      <w:r w:rsidRPr="00425D24">
        <w:rPr>
          <w:b/>
          <w:bCs/>
          <w:color w:val="000000"/>
          <w:sz w:val="20"/>
          <w:szCs w:val="20"/>
          <w:lang w:val="pl-PL"/>
        </w:rPr>
        <w:t>Chilewicz</w:t>
      </w:r>
      <w:proofErr w:type="spellEnd"/>
      <w:r w:rsidRPr="00425D24">
        <w:rPr>
          <w:b/>
          <w:bCs/>
          <w:color w:val="000000"/>
          <w:sz w:val="20"/>
          <w:szCs w:val="20"/>
          <w:lang w:val="pl-PL"/>
        </w:rPr>
        <w:t xml:space="preserve">, </w:t>
      </w:r>
      <w:proofErr w:type="spellStart"/>
      <w:r w:rsidRPr="00425D24">
        <w:rPr>
          <w:b/>
          <w:bCs/>
          <w:color w:val="000000"/>
          <w:sz w:val="20"/>
          <w:szCs w:val="20"/>
          <w:lang w:val="pl-PL"/>
        </w:rPr>
        <w:t>Head</w:t>
      </w:r>
      <w:proofErr w:type="spellEnd"/>
      <w:r w:rsidRPr="00425D24">
        <w:rPr>
          <w:b/>
          <w:bCs/>
          <w:color w:val="000000"/>
          <w:sz w:val="20"/>
          <w:szCs w:val="20"/>
          <w:lang w:val="pl-PL"/>
        </w:rPr>
        <w:t xml:space="preserve"> of Retail </w:t>
      </w:r>
      <w:proofErr w:type="spellStart"/>
      <w:r w:rsidRPr="00425D24">
        <w:rPr>
          <w:b/>
          <w:bCs/>
          <w:color w:val="000000"/>
          <w:sz w:val="20"/>
          <w:szCs w:val="20"/>
          <w:lang w:val="pl-PL"/>
        </w:rPr>
        <w:t>Research</w:t>
      </w:r>
      <w:proofErr w:type="spellEnd"/>
      <w:r w:rsidRPr="00425D24">
        <w:rPr>
          <w:b/>
          <w:bCs/>
          <w:color w:val="000000"/>
          <w:sz w:val="20"/>
          <w:szCs w:val="20"/>
          <w:lang w:val="pl-PL"/>
        </w:rPr>
        <w:t xml:space="preserve">, </w:t>
      </w:r>
      <w:proofErr w:type="spellStart"/>
      <w:r w:rsidRPr="00425D24">
        <w:rPr>
          <w:b/>
          <w:bCs/>
          <w:color w:val="000000"/>
          <w:sz w:val="20"/>
          <w:szCs w:val="20"/>
          <w:lang w:val="pl-PL"/>
        </w:rPr>
        <w:t>Cushman</w:t>
      </w:r>
      <w:proofErr w:type="spellEnd"/>
      <w:r w:rsidRPr="00425D24">
        <w:rPr>
          <w:b/>
          <w:bCs/>
          <w:color w:val="000000"/>
          <w:sz w:val="20"/>
          <w:szCs w:val="20"/>
          <w:lang w:val="pl-PL"/>
        </w:rPr>
        <w:t xml:space="preserve"> &amp; Wakefield</w:t>
      </w:r>
    </w:p>
    <w:p w14:paraId="3253985E" w14:textId="77777777" w:rsidR="00063423" w:rsidRDefault="00063423">
      <w:pPr>
        <w:widowControl w:val="0"/>
        <w:pBdr>
          <w:top w:val="nil"/>
          <w:left w:val="nil"/>
          <w:bottom w:val="nil"/>
          <w:right w:val="nil"/>
          <w:between w:val="nil"/>
        </w:pBdr>
        <w:spacing w:line="240" w:lineRule="auto"/>
        <w:jc w:val="both"/>
        <w:rPr>
          <w:color w:val="000000"/>
          <w:sz w:val="20"/>
          <w:szCs w:val="20"/>
        </w:rPr>
      </w:pPr>
    </w:p>
    <w:p w14:paraId="3253985F" w14:textId="77777777" w:rsidR="00063423" w:rsidRDefault="00000000">
      <w:pPr>
        <w:widowControl w:val="0"/>
        <w:pBdr>
          <w:top w:val="nil"/>
          <w:left w:val="nil"/>
          <w:bottom w:val="nil"/>
          <w:right w:val="nil"/>
          <w:between w:val="nil"/>
        </w:pBdr>
        <w:spacing w:line="240" w:lineRule="auto"/>
        <w:jc w:val="both"/>
        <w:rPr>
          <w:b/>
          <w:bCs/>
          <w:color w:val="000000"/>
          <w:sz w:val="20"/>
          <w:szCs w:val="20"/>
        </w:rPr>
      </w:pPr>
      <w:r>
        <w:rPr>
          <w:b/>
          <w:bCs/>
          <w:color w:val="000000"/>
          <w:sz w:val="20"/>
          <w:szCs w:val="20"/>
        </w:rPr>
        <w:t>Konsumpcja pozostaje odporna mimo wolniejszego tempa wzrostu</w:t>
      </w:r>
    </w:p>
    <w:p w14:paraId="32539860" w14:textId="77777777" w:rsidR="00063423" w:rsidRDefault="00000000">
      <w:pPr>
        <w:widowControl w:val="0"/>
        <w:pBdr>
          <w:top w:val="nil"/>
          <w:left w:val="nil"/>
          <w:bottom w:val="nil"/>
          <w:right w:val="nil"/>
          <w:between w:val="nil"/>
        </w:pBdr>
        <w:spacing w:line="240" w:lineRule="auto"/>
        <w:jc w:val="both"/>
        <w:rPr>
          <w:color w:val="000000"/>
          <w:sz w:val="20"/>
          <w:szCs w:val="20"/>
        </w:rPr>
      </w:pPr>
      <w:r>
        <w:rPr>
          <w:color w:val="000000"/>
          <w:sz w:val="20"/>
          <w:szCs w:val="20"/>
        </w:rPr>
        <w:t>Otoczenie makroekonomiczne nadal wspiera sektor handlowy. W pierwszym kwartale polska gospodarka urosła o 3,5% rok do roku, a inflacja w czerwcu wyniosła 2,5%, pozostając w celu inflacyjnym NBP. Przeciętne wynagrodzenie brutto w sektorze przedsiębiorstw wzrosło do 9173 zł, wspierając realną siłę nabywczą gospodarstw domowych. Sprzedaż detaliczna utrzymała dodatnią dynamikę, choć tempo wzrostu było niższe niż na początku roku. Najlepiej radziły sobie kategorie szczególnie ważne dla centrów handlowych, takie jak farmaceutyki i kosmetyki, wyposażenie wnętrz oraz moda.</w:t>
      </w:r>
    </w:p>
    <w:p w14:paraId="32539861" w14:textId="77777777" w:rsidR="00063423" w:rsidRDefault="00063423">
      <w:pPr>
        <w:widowControl w:val="0"/>
        <w:pBdr>
          <w:top w:val="nil"/>
          <w:left w:val="nil"/>
          <w:bottom w:val="nil"/>
          <w:right w:val="nil"/>
          <w:between w:val="nil"/>
        </w:pBdr>
        <w:spacing w:line="240" w:lineRule="auto"/>
        <w:jc w:val="both"/>
        <w:rPr>
          <w:color w:val="000000"/>
          <w:sz w:val="20"/>
          <w:szCs w:val="20"/>
        </w:rPr>
      </w:pPr>
    </w:p>
    <w:p w14:paraId="32539862" w14:textId="77777777" w:rsidR="00063423" w:rsidRDefault="00000000">
      <w:pPr>
        <w:widowControl w:val="0"/>
        <w:pBdr>
          <w:top w:val="nil"/>
          <w:left w:val="nil"/>
          <w:bottom w:val="nil"/>
          <w:right w:val="nil"/>
          <w:between w:val="nil"/>
        </w:pBdr>
        <w:spacing w:line="240" w:lineRule="auto"/>
        <w:jc w:val="both"/>
        <w:rPr>
          <w:b/>
          <w:bCs/>
          <w:color w:val="000000"/>
          <w:sz w:val="20"/>
          <w:szCs w:val="20"/>
        </w:rPr>
      </w:pPr>
      <w:r>
        <w:rPr>
          <w:b/>
          <w:bCs/>
          <w:color w:val="000000"/>
          <w:sz w:val="20"/>
          <w:szCs w:val="20"/>
        </w:rPr>
        <w:lastRenderedPageBreak/>
        <w:t xml:space="preserve">Po słabym kwietniu </w:t>
      </w:r>
      <w:proofErr w:type="spellStart"/>
      <w:r>
        <w:rPr>
          <w:b/>
          <w:bCs/>
          <w:color w:val="000000"/>
          <w:sz w:val="20"/>
          <w:szCs w:val="20"/>
        </w:rPr>
        <w:t>odwiedzalność</w:t>
      </w:r>
      <w:proofErr w:type="spellEnd"/>
      <w:r>
        <w:rPr>
          <w:b/>
          <w:bCs/>
          <w:color w:val="000000"/>
          <w:sz w:val="20"/>
          <w:szCs w:val="20"/>
        </w:rPr>
        <w:t xml:space="preserve"> i sprzedaż wróciły na ścieżkę wzrostu</w:t>
      </w:r>
    </w:p>
    <w:p w14:paraId="32539863" w14:textId="77777777" w:rsidR="00063423" w:rsidRDefault="00000000">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Pierwsze półrocze zakończyło się 0,6-procentowym wzrostem </w:t>
      </w:r>
      <w:proofErr w:type="spellStart"/>
      <w:r>
        <w:rPr>
          <w:color w:val="000000"/>
          <w:sz w:val="20"/>
          <w:szCs w:val="20"/>
        </w:rPr>
        <w:t>odwiedzalności</w:t>
      </w:r>
      <w:proofErr w:type="spellEnd"/>
      <w:r>
        <w:rPr>
          <w:color w:val="000000"/>
          <w:sz w:val="20"/>
          <w:szCs w:val="20"/>
        </w:rPr>
        <w:t xml:space="preserve"> centrów handlowych rok do roku. Kluczowy wpływ na wynik miał słabszy kwiecień, jednak już w maju ruch klientów zaczął się odbudowywać, a czerwiec przyniósł wzrost </w:t>
      </w:r>
      <w:proofErr w:type="spellStart"/>
      <w:r>
        <w:rPr>
          <w:color w:val="000000"/>
          <w:sz w:val="20"/>
          <w:szCs w:val="20"/>
        </w:rPr>
        <w:t>odwiedzalności</w:t>
      </w:r>
      <w:proofErr w:type="spellEnd"/>
      <w:r>
        <w:rPr>
          <w:color w:val="000000"/>
          <w:sz w:val="20"/>
          <w:szCs w:val="20"/>
        </w:rPr>
        <w:t xml:space="preserve"> o 5,1%.</w:t>
      </w:r>
    </w:p>
    <w:p w14:paraId="32539864" w14:textId="77777777" w:rsidR="00063423" w:rsidRDefault="00063423">
      <w:pPr>
        <w:widowControl w:val="0"/>
        <w:pBdr>
          <w:top w:val="nil"/>
          <w:left w:val="nil"/>
          <w:bottom w:val="nil"/>
          <w:right w:val="nil"/>
          <w:between w:val="nil"/>
        </w:pBdr>
        <w:spacing w:line="240" w:lineRule="auto"/>
        <w:jc w:val="both"/>
        <w:rPr>
          <w:color w:val="000000"/>
          <w:sz w:val="20"/>
          <w:szCs w:val="20"/>
        </w:rPr>
      </w:pPr>
    </w:p>
    <w:p w14:paraId="32539865" w14:textId="77777777" w:rsidR="00063423" w:rsidRDefault="00000000">
      <w:pPr>
        <w:widowControl w:val="0"/>
        <w:pBdr>
          <w:top w:val="nil"/>
          <w:left w:val="nil"/>
          <w:bottom w:val="nil"/>
          <w:right w:val="nil"/>
          <w:between w:val="nil"/>
        </w:pBdr>
        <w:spacing w:line="240" w:lineRule="auto"/>
        <w:jc w:val="both"/>
        <w:rPr>
          <w:color w:val="000000"/>
          <w:sz w:val="20"/>
          <w:szCs w:val="20"/>
        </w:rPr>
      </w:pPr>
      <w:r>
        <w:rPr>
          <w:color w:val="000000"/>
          <w:sz w:val="20"/>
          <w:szCs w:val="20"/>
        </w:rPr>
        <w:t>Obroty najemców w okresie styczeń</w:t>
      </w:r>
      <w:r>
        <w:rPr>
          <w:sz w:val="20"/>
          <w:szCs w:val="20"/>
        </w:rPr>
        <w:t>-</w:t>
      </w:r>
      <w:r>
        <w:rPr>
          <w:color w:val="000000"/>
          <w:sz w:val="20"/>
          <w:szCs w:val="20"/>
        </w:rPr>
        <w:t>maj wzrosły o 3%, nieznacznie wyprzedzając inflację. Po kwietniowym spadku sprzedaży o 6,6% rok do roku rynek szybko wrócił do dodatniej dynamiki.</w:t>
      </w:r>
    </w:p>
    <w:p w14:paraId="32539866" w14:textId="77777777" w:rsidR="00063423" w:rsidRDefault="00063423">
      <w:pPr>
        <w:widowControl w:val="0"/>
        <w:pBdr>
          <w:top w:val="nil"/>
          <w:left w:val="nil"/>
          <w:bottom w:val="nil"/>
          <w:right w:val="nil"/>
          <w:between w:val="nil"/>
        </w:pBdr>
        <w:spacing w:line="240" w:lineRule="auto"/>
        <w:jc w:val="both"/>
        <w:rPr>
          <w:color w:val="000000"/>
          <w:sz w:val="20"/>
          <w:szCs w:val="20"/>
        </w:rPr>
      </w:pPr>
    </w:p>
    <w:p w14:paraId="32539867" w14:textId="77777777" w:rsidR="00063423" w:rsidRDefault="00000000">
      <w:pPr>
        <w:widowControl w:val="0"/>
        <w:pBdr>
          <w:top w:val="nil"/>
          <w:left w:val="nil"/>
          <w:bottom w:val="nil"/>
          <w:right w:val="nil"/>
          <w:between w:val="nil"/>
        </w:pBdr>
        <w:spacing w:line="240" w:lineRule="auto"/>
        <w:jc w:val="both"/>
        <w:rPr>
          <w:b/>
          <w:bCs/>
          <w:color w:val="000000"/>
          <w:sz w:val="20"/>
          <w:szCs w:val="20"/>
        </w:rPr>
      </w:pPr>
      <w:r>
        <w:rPr>
          <w:i/>
          <w:iCs/>
          <w:color w:val="000000"/>
          <w:sz w:val="20"/>
          <w:szCs w:val="20"/>
        </w:rPr>
        <w:t xml:space="preserve">– Drugi kwartał pokazał, że kwietniowe osłabienie miało charakter przejściowy. Zarówno </w:t>
      </w:r>
      <w:proofErr w:type="spellStart"/>
      <w:r>
        <w:rPr>
          <w:i/>
          <w:iCs/>
          <w:color w:val="000000"/>
          <w:sz w:val="20"/>
          <w:szCs w:val="20"/>
        </w:rPr>
        <w:t>odwiedzalność</w:t>
      </w:r>
      <w:proofErr w:type="spellEnd"/>
      <w:r>
        <w:rPr>
          <w:i/>
          <w:iCs/>
          <w:color w:val="000000"/>
          <w:sz w:val="20"/>
          <w:szCs w:val="20"/>
        </w:rPr>
        <w:t>, jak i obroty poprawiały się z miesiąca na miesiąc, a czerwiec przyniósł wyraźne odbicie. Konsumenci pozostają ostrożni, jednak stabilna sytuacja na rynku pracy i rosnące wynagrodzenia nadal wspierają skłonność do zakupów, szczególnie w segmentach związanych z modą, wyposażeniem wnętrz czy zdrowiem i urodą</w:t>
      </w:r>
      <w:r>
        <w:rPr>
          <w:color w:val="000000"/>
          <w:sz w:val="20"/>
          <w:szCs w:val="20"/>
        </w:rPr>
        <w:t xml:space="preserve"> – komentuje</w:t>
      </w:r>
      <w:r>
        <w:rPr>
          <w:b/>
          <w:bCs/>
          <w:color w:val="000000"/>
          <w:sz w:val="20"/>
          <w:szCs w:val="20"/>
        </w:rPr>
        <w:t xml:space="preserve"> Ewa Derlatka-</w:t>
      </w:r>
      <w:proofErr w:type="spellStart"/>
      <w:r>
        <w:rPr>
          <w:b/>
          <w:bCs/>
          <w:color w:val="000000"/>
          <w:sz w:val="20"/>
          <w:szCs w:val="20"/>
        </w:rPr>
        <w:t>Chilewicz</w:t>
      </w:r>
      <w:proofErr w:type="spellEnd"/>
      <w:r>
        <w:rPr>
          <w:b/>
          <w:bCs/>
          <w:color w:val="000000"/>
          <w:sz w:val="20"/>
          <w:szCs w:val="20"/>
        </w:rPr>
        <w:t xml:space="preserve">, </w:t>
      </w:r>
      <w:proofErr w:type="spellStart"/>
      <w:r>
        <w:rPr>
          <w:b/>
          <w:bCs/>
          <w:color w:val="000000"/>
          <w:sz w:val="20"/>
          <w:szCs w:val="20"/>
        </w:rPr>
        <w:t>Head</w:t>
      </w:r>
      <w:proofErr w:type="spellEnd"/>
      <w:r>
        <w:rPr>
          <w:b/>
          <w:bCs/>
          <w:color w:val="000000"/>
          <w:sz w:val="20"/>
          <w:szCs w:val="20"/>
        </w:rPr>
        <w:t xml:space="preserve"> of Retail </w:t>
      </w:r>
      <w:proofErr w:type="spellStart"/>
      <w:r>
        <w:rPr>
          <w:b/>
          <w:bCs/>
          <w:color w:val="000000"/>
          <w:sz w:val="20"/>
          <w:szCs w:val="20"/>
        </w:rPr>
        <w:t>Research</w:t>
      </w:r>
      <w:proofErr w:type="spellEnd"/>
      <w:r>
        <w:rPr>
          <w:b/>
          <w:bCs/>
          <w:color w:val="000000"/>
          <w:sz w:val="20"/>
          <w:szCs w:val="20"/>
        </w:rPr>
        <w:t xml:space="preserve">, </w:t>
      </w:r>
      <w:proofErr w:type="spellStart"/>
      <w:r>
        <w:rPr>
          <w:b/>
          <w:bCs/>
          <w:color w:val="000000"/>
          <w:sz w:val="20"/>
          <w:szCs w:val="20"/>
        </w:rPr>
        <w:t>Cushman</w:t>
      </w:r>
      <w:proofErr w:type="spellEnd"/>
      <w:r>
        <w:rPr>
          <w:b/>
          <w:bCs/>
          <w:color w:val="000000"/>
          <w:sz w:val="20"/>
          <w:szCs w:val="20"/>
        </w:rPr>
        <w:t xml:space="preserve"> &amp; Wakefield.</w:t>
      </w:r>
    </w:p>
    <w:p w14:paraId="32539868" w14:textId="77777777" w:rsidR="00063423" w:rsidRPr="00C555F5" w:rsidRDefault="00063423">
      <w:pPr>
        <w:widowControl w:val="0"/>
        <w:pBdr>
          <w:top w:val="nil"/>
          <w:left w:val="nil"/>
          <w:bottom w:val="nil"/>
          <w:right w:val="nil"/>
          <w:between w:val="nil"/>
        </w:pBdr>
        <w:spacing w:line="240" w:lineRule="auto"/>
        <w:jc w:val="both"/>
        <w:rPr>
          <w:color w:val="000000"/>
          <w:sz w:val="20"/>
          <w:szCs w:val="20"/>
        </w:rPr>
      </w:pPr>
    </w:p>
    <w:p w14:paraId="32539869" w14:textId="77777777" w:rsidR="00063423" w:rsidRDefault="00000000">
      <w:pPr>
        <w:widowControl w:val="0"/>
        <w:pBdr>
          <w:top w:val="nil"/>
          <w:left w:val="nil"/>
          <w:bottom w:val="nil"/>
          <w:right w:val="nil"/>
          <w:between w:val="nil"/>
        </w:pBdr>
        <w:spacing w:line="240" w:lineRule="auto"/>
        <w:jc w:val="both"/>
        <w:rPr>
          <w:b/>
          <w:bCs/>
          <w:color w:val="000000"/>
          <w:sz w:val="20"/>
          <w:szCs w:val="20"/>
        </w:rPr>
      </w:pPr>
      <w:r>
        <w:rPr>
          <w:b/>
          <w:bCs/>
          <w:color w:val="000000"/>
          <w:sz w:val="20"/>
          <w:szCs w:val="20"/>
        </w:rPr>
        <w:t>Czynsze pozostają stabilne</w:t>
      </w:r>
    </w:p>
    <w:p w14:paraId="3253986A" w14:textId="77777777" w:rsidR="00063423" w:rsidRDefault="00000000">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Drugi kwartał nie przyniósł zmian stawek czynszów w najlepszych obiektach handlowych. W flagowych centrach handlowych czynsze dla lokali o powierzchni około 100 mkw. utrzymywały się na poziomie 180 EUR/mkw. miesięcznie. W najlepszych parkach handlowych stawki </w:t>
      </w:r>
      <w:proofErr w:type="spellStart"/>
      <w:r>
        <w:rPr>
          <w:color w:val="000000"/>
          <w:sz w:val="20"/>
          <w:szCs w:val="20"/>
        </w:rPr>
        <w:t>prime</w:t>
      </w:r>
      <w:proofErr w:type="spellEnd"/>
      <w:r>
        <w:rPr>
          <w:color w:val="000000"/>
          <w:sz w:val="20"/>
          <w:szCs w:val="20"/>
        </w:rPr>
        <w:t xml:space="preserve"> wynosiły średnio 19,5 EUR/mkw. miesięcznie, natomiast na najbardziej prestiżowych ulicach handlowych około 93 EUR/mkw. miesięcznie.</w:t>
      </w:r>
    </w:p>
    <w:p w14:paraId="3253986B" w14:textId="77777777" w:rsidR="00063423" w:rsidRDefault="00063423">
      <w:pPr>
        <w:widowControl w:val="0"/>
        <w:pBdr>
          <w:top w:val="nil"/>
          <w:left w:val="nil"/>
          <w:bottom w:val="nil"/>
          <w:right w:val="nil"/>
          <w:between w:val="nil"/>
        </w:pBdr>
        <w:spacing w:line="240" w:lineRule="auto"/>
        <w:jc w:val="both"/>
        <w:rPr>
          <w:color w:val="000000"/>
          <w:sz w:val="20"/>
          <w:szCs w:val="20"/>
        </w:rPr>
      </w:pPr>
    </w:p>
    <w:p w14:paraId="3253986C" w14:textId="77777777" w:rsidR="00063423" w:rsidRDefault="00000000">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 </w:t>
      </w:r>
      <w:r>
        <w:rPr>
          <w:i/>
          <w:iCs/>
          <w:color w:val="000000"/>
          <w:sz w:val="20"/>
          <w:szCs w:val="20"/>
        </w:rPr>
        <w:t xml:space="preserve">Po dynamicznych wzrostach obserwowanych w 2024 roku rynek wszedł w fazę stabilizacji. Czynsze w najlepszych lokalizacjach utrzymują wysokie poziomy, co odzwierciedla utrzymujący się popyt na powierzchnie w obiektach o najsilniejszych parametrach handlowych. W obecnych warunkach większego znaczenia niż dalszy wzrost stawek nabierają jakość projektu, odpowiedni </w:t>
      </w:r>
      <w:proofErr w:type="spellStart"/>
      <w:r>
        <w:rPr>
          <w:i/>
          <w:iCs/>
          <w:color w:val="000000"/>
          <w:sz w:val="20"/>
          <w:szCs w:val="20"/>
        </w:rPr>
        <w:t>tenant</w:t>
      </w:r>
      <w:proofErr w:type="spellEnd"/>
      <w:r>
        <w:rPr>
          <w:i/>
          <w:iCs/>
          <w:color w:val="000000"/>
          <w:sz w:val="20"/>
          <w:szCs w:val="20"/>
        </w:rPr>
        <w:t xml:space="preserve"> mix oraz zdolność właścicieli do budowania długoterminowej wartości aktywów</w:t>
      </w:r>
      <w:r>
        <w:rPr>
          <w:color w:val="000000"/>
          <w:sz w:val="20"/>
          <w:szCs w:val="20"/>
        </w:rPr>
        <w:t xml:space="preserve"> – podsumowuje </w:t>
      </w:r>
      <w:r>
        <w:rPr>
          <w:b/>
          <w:bCs/>
          <w:color w:val="000000"/>
          <w:sz w:val="20"/>
          <w:szCs w:val="20"/>
        </w:rPr>
        <w:t xml:space="preserve">Michał </w:t>
      </w:r>
      <w:proofErr w:type="spellStart"/>
      <w:r>
        <w:rPr>
          <w:b/>
          <w:bCs/>
          <w:color w:val="000000"/>
          <w:sz w:val="20"/>
          <w:szCs w:val="20"/>
        </w:rPr>
        <w:t>Masztakowski</w:t>
      </w:r>
      <w:proofErr w:type="spellEnd"/>
      <w:r>
        <w:rPr>
          <w:b/>
          <w:bCs/>
          <w:color w:val="000000"/>
          <w:sz w:val="20"/>
          <w:szCs w:val="20"/>
        </w:rPr>
        <w:t xml:space="preserve">, </w:t>
      </w:r>
      <w:proofErr w:type="spellStart"/>
      <w:r>
        <w:rPr>
          <w:b/>
          <w:bCs/>
          <w:color w:val="000000"/>
          <w:sz w:val="20"/>
          <w:szCs w:val="20"/>
        </w:rPr>
        <w:t>Head</w:t>
      </w:r>
      <w:proofErr w:type="spellEnd"/>
      <w:r>
        <w:rPr>
          <w:b/>
          <w:bCs/>
          <w:color w:val="000000"/>
          <w:sz w:val="20"/>
          <w:szCs w:val="20"/>
        </w:rPr>
        <w:t xml:space="preserve"> of Retail </w:t>
      </w:r>
      <w:proofErr w:type="spellStart"/>
      <w:r>
        <w:rPr>
          <w:b/>
          <w:bCs/>
          <w:color w:val="000000"/>
          <w:sz w:val="20"/>
          <w:szCs w:val="20"/>
        </w:rPr>
        <w:t>Agency</w:t>
      </w:r>
      <w:proofErr w:type="spellEnd"/>
      <w:r>
        <w:rPr>
          <w:b/>
          <w:bCs/>
          <w:color w:val="000000"/>
          <w:sz w:val="20"/>
          <w:szCs w:val="20"/>
        </w:rPr>
        <w:t xml:space="preserve">, </w:t>
      </w:r>
      <w:proofErr w:type="spellStart"/>
      <w:r>
        <w:rPr>
          <w:b/>
          <w:bCs/>
          <w:color w:val="000000"/>
          <w:sz w:val="20"/>
          <w:szCs w:val="20"/>
        </w:rPr>
        <w:t>Cushman</w:t>
      </w:r>
      <w:proofErr w:type="spellEnd"/>
      <w:r>
        <w:rPr>
          <w:b/>
          <w:bCs/>
          <w:color w:val="000000"/>
          <w:sz w:val="20"/>
          <w:szCs w:val="20"/>
        </w:rPr>
        <w:t xml:space="preserve"> &amp; Wakefield.</w:t>
      </w:r>
    </w:p>
    <w:p w14:paraId="3253986D" w14:textId="77777777" w:rsidR="00063423" w:rsidRDefault="00063423">
      <w:pPr>
        <w:widowControl w:val="0"/>
        <w:pBdr>
          <w:top w:val="nil"/>
          <w:left w:val="nil"/>
          <w:bottom w:val="nil"/>
          <w:right w:val="nil"/>
          <w:between w:val="nil"/>
        </w:pBdr>
        <w:spacing w:line="240" w:lineRule="auto"/>
        <w:jc w:val="both"/>
        <w:rPr>
          <w:color w:val="000000"/>
          <w:sz w:val="20"/>
          <w:szCs w:val="20"/>
        </w:rPr>
      </w:pPr>
    </w:p>
    <w:p w14:paraId="3253986E" w14:textId="77777777" w:rsidR="00063423" w:rsidRDefault="00063423">
      <w:pPr>
        <w:widowControl w:val="0"/>
        <w:pBdr>
          <w:top w:val="nil"/>
          <w:left w:val="nil"/>
          <w:bottom w:val="nil"/>
          <w:right w:val="nil"/>
          <w:between w:val="nil"/>
        </w:pBdr>
        <w:spacing w:line="240" w:lineRule="auto"/>
        <w:rPr>
          <w:b/>
          <w:bCs/>
          <w:color w:val="000000"/>
          <w:sz w:val="16"/>
          <w:szCs w:val="16"/>
        </w:rPr>
      </w:pPr>
    </w:p>
    <w:p w14:paraId="3253986F" w14:textId="77777777" w:rsidR="00063423" w:rsidRDefault="00063423">
      <w:pPr>
        <w:widowControl w:val="0"/>
        <w:pBdr>
          <w:top w:val="nil"/>
          <w:left w:val="nil"/>
          <w:bottom w:val="nil"/>
          <w:right w:val="nil"/>
          <w:between w:val="nil"/>
        </w:pBdr>
        <w:spacing w:line="240" w:lineRule="auto"/>
        <w:rPr>
          <w:b/>
          <w:bCs/>
          <w:color w:val="000000"/>
          <w:sz w:val="16"/>
          <w:szCs w:val="16"/>
        </w:rPr>
      </w:pPr>
    </w:p>
    <w:p w14:paraId="32539870" w14:textId="77777777" w:rsidR="00063423" w:rsidRDefault="00000000">
      <w:pPr>
        <w:widowControl w:val="0"/>
        <w:pBdr>
          <w:top w:val="nil"/>
          <w:left w:val="nil"/>
          <w:bottom w:val="nil"/>
          <w:right w:val="nil"/>
          <w:between w:val="nil"/>
        </w:pBdr>
        <w:spacing w:line="240" w:lineRule="auto"/>
        <w:rPr>
          <w:b/>
          <w:bCs/>
          <w:color w:val="000000"/>
          <w:sz w:val="16"/>
          <w:szCs w:val="16"/>
        </w:rPr>
      </w:pPr>
      <w:r>
        <w:rPr>
          <w:b/>
          <w:bCs/>
          <w:color w:val="000000"/>
          <w:sz w:val="16"/>
          <w:szCs w:val="16"/>
        </w:rPr>
        <w:t xml:space="preserve">O </w:t>
      </w:r>
      <w:proofErr w:type="spellStart"/>
      <w:r>
        <w:rPr>
          <w:b/>
          <w:bCs/>
          <w:color w:val="000000"/>
          <w:sz w:val="16"/>
          <w:szCs w:val="16"/>
        </w:rPr>
        <w:t>Cushman</w:t>
      </w:r>
      <w:proofErr w:type="spellEnd"/>
      <w:r>
        <w:rPr>
          <w:b/>
          <w:bCs/>
          <w:color w:val="000000"/>
          <w:sz w:val="16"/>
          <w:szCs w:val="16"/>
        </w:rPr>
        <w:t xml:space="preserve"> &amp; Wakefield </w:t>
      </w:r>
    </w:p>
    <w:p w14:paraId="32539871" w14:textId="77777777" w:rsidR="00063423" w:rsidRDefault="00000000">
      <w:pPr>
        <w:widowControl w:val="0"/>
        <w:pBdr>
          <w:top w:val="nil"/>
          <w:left w:val="nil"/>
          <w:bottom w:val="nil"/>
          <w:right w:val="nil"/>
          <w:between w:val="nil"/>
        </w:pBdr>
        <w:spacing w:before="159" w:line="234" w:lineRule="auto"/>
        <w:ind w:left="12" w:right="4" w:firstLine="4"/>
        <w:rPr>
          <w:color w:val="000000"/>
          <w:sz w:val="16"/>
          <w:szCs w:val="16"/>
        </w:rPr>
      </w:pPr>
      <w:proofErr w:type="spellStart"/>
      <w:r>
        <w:rPr>
          <w:color w:val="000000"/>
          <w:sz w:val="16"/>
          <w:szCs w:val="16"/>
        </w:rPr>
        <w:t>Cushman</w:t>
      </w:r>
      <w:proofErr w:type="spellEnd"/>
      <w:r>
        <w:rPr>
          <w:color w:val="000000"/>
          <w:sz w:val="16"/>
          <w:szCs w:val="16"/>
        </w:rPr>
        <w:t xml:space="preserve"> &amp; Wakefield (NYSE: CWK) jest wiodącą na świecie firmą świadczącą usługi na rzecz właścicieli i najemców nieruchomości komercyjnych. Zatrudnia ok. 52 tys. pracowników w niemal 400 biurach i 60 krajach na całym świecie. W 2024 roku jej przychody wyniosły 9,4 mld USD. Do najważniejszych usług świadczonych przez firmę należą m.in. zarządzanie nieruchomościami, obiektami i projektami, pośrednictwo w wynajmie powierzchni, obsługa transakcji na rynkach kapitałowych oraz wyceny. Za nieustanne dążenie do doskonałości zgodnie z zasadą </w:t>
      </w:r>
      <w:proofErr w:type="spellStart"/>
      <w:r>
        <w:rPr>
          <w:color w:val="000000"/>
          <w:sz w:val="16"/>
          <w:szCs w:val="16"/>
        </w:rPr>
        <w:t>Better</w:t>
      </w:r>
      <w:proofErr w:type="spellEnd"/>
      <w:r>
        <w:rPr>
          <w:color w:val="000000"/>
          <w:sz w:val="16"/>
          <w:szCs w:val="16"/>
        </w:rPr>
        <w:t xml:space="preserve"> </w:t>
      </w:r>
      <w:proofErr w:type="spellStart"/>
      <w:r>
        <w:rPr>
          <w:color w:val="000000"/>
          <w:sz w:val="16"/>
          <w:szCs w:val="16"/>
        </w:rPr>
        <w:t>never</w:t>
      </w:r>
      <w:proofErr w:type="spellEnd"/>
      <w:r>
        <w:rPr>
          <w:color w:val="000000"/>
          <w:sz w:val="16"/>
          <w:szCs w:val="16"/>
        </w:rPr>
        <w:t xml:space="preserve"> </w:t>
      </w:r>
      <w:proofErr w:type="spellStart"/>
      <w:r>
        <w:rPr>
          <w:color w:val="000000"/>
          <w:sz w:val="16"/>
          <w:szCs w:val="16"/>
        </w:rPr>
        <w:t>settles</w:t>
      </w:r>
      <w:proofErr w:type="spellEnd"/>
      <w:r>
        <w:rPr>
          <w:color w:val="000000"/>
          <w:sz w:val="16"/>
          <w:szCs w:val="16"/>
        </w:rPr>
        <w:t xml:space="preserve"> </w:t>
      </w:r>
      <w:proofErr w:type="spellStart"/>
      <w:r>
        <w:rPr>
          <w:color w:val="000000"/>
          <w:sz w:val="16"/>
          <w:szCs w:val="16"/>
        </w:rPr>
        <w:t>Cushman</w:t>
      </w:r>
      <w:proofErr w:type="spellEnd"/>
      <w:r>
        <w:rPr>
          <w:color w:val="000000"/>
          <w:sz w:val="16"/>
          <w:szCs w:val="16"/>
        </w:rPr>
        <w:t xml:space="preserve"> &amp; Wakefield otrzymuje wiele wyróżnień oraz nagród w konkursach branżowych i biznesowych. Dodatkowe informacje na stronie www.cushmanwakefield.com. </w:t>
      </w:r>
    </w:p>
    <w:p w14:paraId="32539872" w14:textId="77777777" w:rsidR="00063423" w:rsidRDefault="00000000">
      <w:pPr>
        <w:widowControl w:val="0"/>
        <w:pBdr>
          <w:top w:val="nil"/>
          <w:left w:val="nil"/>
          <w:bottom w:val="nil"/>
          <w:right w:val="nil"/>
          <w:between w:val="nil"/>
        </w:pBdr>
        <w:spacing w:before="206" w:line="240" w:lineRule="auto"/>
        <w:jc w:val="center"/>
        <w:rPr>
          <w:b/>
          <w:bCs/>
          <w:color w:val="000000"/>
          <w:sz w:val="16"/>
          <w:szCs w:val="16"/>
        </w:rPr>
      </w:pPr>
      <w:r>
        <w:rPr>
          <w:color w:val="000000"/>
          <w:sz w:val="16"/>
          <w:szCs w:val="16"/>
        </w:rPr>
        <w:t xml:space="preserve">- </w:t>
      </w:r>
      <w:r>
        <w:rPr>
          <w:b/>
          <w:bCs/>
          <w:color w:val="000000"/>
          <w:sz w:val="16"/>
          <w:szCs w:val="16"/>
        </w:rPr>
        <w:t>KONIEC -</w:t>
      </w:r>
    </w:p>
    <w:sectPr w:rsidR="00063423">
      <w:headerReference w:type="default" r:id="rId10"/>
      <w:footerReference w:type="default" r:id="rId11"/>
      <w:pgSz w:w="11900" w:h="16820"/>
      <w:pgMar w:top="1555" w:right="950" w:bottom="763" w:left="1215" w:header="0" w:footer="19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34FCC" w14:textId="77777777" w:rsidR="00DE1466" w:rsidRDefault="00DE1466">
      <w:pPr>
        <w:spacing w:line="240" w:lineRule="auto"/>
      </w:pPr>
      <w:r>
        <w:separator/>
      </w:r>
    </w:p>
  </w:endnote>
  <w:endnote w:type="continuationSeparator" w:id="0">
    <w:p w14:paraId="6A21285C" w14:textId="77777777" w:rsidR="00DE1466" w:rsidRDefault="00DE14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FCB5B724-51EC-BB49-8672-6D33D7DC918D}"/>
    <w:embedBold r:id="rId2" w:fontKey="{83E1FE52-CB2A-FF4B-90A9-D377120701D5}"/>
    <w:embedItalic r:id="rId3" w:fontKey="{C3152894-27F4-FD46-B463-05BF50BACF69}"/>
  </w:font>
  <w:font w:name="Times New Roman">
    <w:panose1 w:val="02020603050405020304"/>
    <w:charset w:val="00"/>
    <w:family w:val="roman"/>
    <w:pitch w:val="variable"/>
    <w:sig w:usb0="E0002EFF" w:usb1="C000785B" w:usb2="00000009" w:usb3="00000000" w:csb0="000001FF" w:csb1="00000000"/>
    <w:embedRegular r:id="rId4" w:fontKey="{F2D8B3AD-88D9-F349-8B88-C9B040F901DB}"/>
  </w:font>
  <w:font w:name="Georgia">
    <w:panose1 w:val="02040502050405020303"/>
    <w:charset w:val="00"/>
    <w:family w:val="roman"/>
    <w:pitch w:val="variable"/>
    <w:sig w:usb0="00000287" w:usb1="00000000" w:usb2="00000000" w:usb3="00000000" w:csb0="0000009F" w:csb1="00000000"/>
    <w:embedItalic r:id="rId5" w:fontKey="{C8695912-0F94-BD49-89FC-C4DA33BD218A}"/>
  </w:font>
  <w:font w:name="Calibri">
    <w:panose1 w:val="020F0502020204030204"/>
    <w:charset w:val="00"/>
    <w:family w:val="swiss"/>
    <w:pitch w:val="variable"/>
    <w:sig w:usb0="E4002EFF" w:usb1="C200247B" w:usb2="00000009" w:usb3="00000000" w:csb0="000001FF" w:csb1="00000000"/>
    <w:embedRegular r:id="rId6" w:fontKey="{7B27069E-584C-784F-BA85-039484F53AA1}"/>
    <w:embedBold r:id="rId7" w:fontKey="{43CACA65-F3A0-5441-9493-396FB20BDD4C}"/>
  </w:font>
  <w:font w:name="Cambria">
    <w:panose1 w:val="02040503050406030204"/>
    <w:charset w:val="00"/>
    <w:family w:val="roman"/>
    <w:pitch w:val="variable"/>
    <w:sig w:usb0="E00006FF" w:usb1="420024FF" w:usb2="02000000" w:usb3="00000000" w:csb0="0000019F" w:csb1="00000000"/>
    <w:embedRegular r:id="rId8" w:fontKey="{89327CA5-92D3-F14E-8C82-C610F3FA11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39874" w14:textId="77777777" w:rsidR="00063423" w:rsidRPr="00147C3A" w:rsidRDefault="00000000">
    <w:pPr>
      <w:widowControl w:val="0"/>
      <w:pBdr>
        <w:top w:val="nil"/>
        <w:left w:val="nil"/>
        <w:bottom w:val="nil"/>
        <w:right w:val="nil"/>
        <w:between w:val="nil"/>
      </w:pBdr>
      <w:spacing w:before="675" w:line="240" w:lineRule="auto"/>
      <w:ind w:left="263"/>
      <w:rPr>
        <w:rFonts w:ascii="Calibri" w:eastAsia="Calibri" w:hAnsi="Calibri" w:cs="Calibri"/>
        <w:b/>
        <w:bCs/>
        <w:color w:val="696B6B"/>
        <w:sz w:val="18"/>
        <w:szCs w:val="18"/>
        <w:lang w:val="en-US"/>
      </w:rPr>
    </w:pPr>
    <w:r w:rsidRPr="00147C3A">
      <w:rPr>
        <w:rFonts w:ascii="Calibri" w:eastAsia="Calibri" w:hAnsi="Calibri" w:cs="Calibri"/>
        <w:b/>
        <w:bCs/>
        <w:color w:val="696B6B"/>
        <w:sz w:val="18"/>
        <w:szCs w:val="18"/>
        <w:lang w:val="en-US"/>
      </w:rPr>
      <w:t xml:space="preserve">Karolina </w:t>
    </w:r>
    <w:proofErr w:type="spellStart"/>
    <w:r w:rsidRPr="00147C3A">
      <w:rPr>
        <w:rFonts w:ascii="Calibri" w:eastAsia="Calibri" w:hAnsi="Calibri" w:cs="Calibri"/>
        <w:b/>
        <w:bCs/>
        <w:color w:val="696B6B"/>
        <w:sz w:val="18"/>
        <w:szCs w:val="18"/>
        <w:lang w:val="en-US"/>
      </w:rPr>
      <w:t>Samczyńska-Fiślak</w:t>
    </w:r>
    <w:proofErr w:type="spellEnd"/>
    <w:r w:rsidRPr="00147C3A">
      <w:rPr>
        <w:rFonts w:ascii="Calibri" w:eastAsia="Calibri" w:hAnsi="Calibri" w:cs="Calibri"/>
        <w:b/>
        <w:bCs/>
        <w:color w:val="696B6B"/>
        <w:sz w:val="18"/>
        <w:szCs w:val="18"/>
        <w:lang w:val="en-US"/>
      </w:rPr>
      <w:t xml:space="preserve"> </w:t>
    </w:r>
  </w:p>
  <w:p w14:paraId="32539875" w14:textId="77777777" w:rsidR="00063423" w:rsidRPr="00147C3A" w:rsidRDefault="00000000">
    <w:pPr>
      <w:widowControl w:val="0"/>
      <w:pBdr>
        <w:top w:val="nil"/>
        <w:left w:val="nil"/>
        <w:bottom w:val="nil"/>
        <w:right w:val="nil"/>
        <w:between w:val="nil"/>
      </w:pBdr>
      <w:spacing w:before="8" w:line="240" w:lineRule="auto"/>
      <w:ind w:left="259"/>
      <w:rPr>
        <w:rFonts w:ascii="Calibri" w:eastAsia="Calibri" w:hAnsi="Calibri" w:cs="Calibri"/>
        <w:color w:val="696B6B"/>
        <w:sz w:val="18"/>
        <w:szCs w:val="18"/>
        <w:lang w:val="en-US"/>
      </w:rPr>
    </w:pPr>
    <w:r w:rsidRPr="00147C3A">
      <w:rPr>
        <w:rFonts w:ascii="Calibri" w:eastAsia="Calibri" w:hAnsi="Calibri" w:cs="Calibri"/>
        <w:color w:val="696B6B"/>
        <w:sz w:val="18"/>
        <w:szCs w:val="18"/>
        <w:lang w:val="en-US"/>
      </w:rPr>
      <w:t>Cushman &amp; Wakefield</w:t>
    </w:r>
  </w:p>
  <w:p w14:paraId="32539876" w14:textId="77777777" w:rsidR="00063423" w:rsidRPr="00147C3A" w:rsidRDefault="00000000">
    <w:pPr>
      <w:widowControl w:val="0"/>
      <w:pBdr>
        <w:top w:val="nil"/>
        <w:left w:val="nil"/>
        <w:bottom w:val="nil"/>
        <w:right w:val="nil"/>
        <w:between w:val="nil"/>
      </w:pBdr>
      <w:spacing w:before="10" w:line="240" w:lineRule="auto"/>
      <w:ind w:left="252"/>
      <w:rPr>
        <w:rFonts w:ascii="Calibri" w:eastAsia="Calibri" w:hAnsi="Calibri" w:cs="Calibri"/>
        <w:color w:val="696B6B"/>
        <w:sz w:val="18"/>
        <w:szCs w:val="18"/>
        <w:lang w:val="en-US"/>
      </w:rPr>
    </w:pPr>
    <w:r w:rsidRPr="00147C3A">
      <w:rPr>
        <w:rFonts w:ascii="Calibri" w:eastAsia="Calibri" w:hAnsi="Calibri" w:cs="Calibri"/>
        <w:color w:val="696B6B"/>
        <w:sz w:val="18"/>
        <w:szCs w:val="18"/>
        <w:lang w:val="en-US"/>
      </w:rPr>
      <w:t xml:space="preserve">Tel: + 48 22 820 20 20; 691 060 202 </w:t>
    </w:r>
  </w:p>
  <w:p w14:paraId="32539877" w14:textId="77777777" w:rsidR="00063423" w:rsidRPr="00147C3A" w:rsidRDefault="00000000">
    <w:pPr>
      <w:widowControl w:val="0"/>
      <w:pBdr>
        <w:top w:val="nil"/>
        <w:left w:val="nil"/>
        <w:bottom w:val="nil"/>
        <w:right w:val="nil"/>
        <w:between w:val="nil"/>
      </w:pBdr>
      <w:spacing w:before="8" w:line="240" w:lineRule="auto"/>
      <w:ind w:left="257"/>
      <w:rPr>
        <w:rFonts w:ascii="Calibri" w:eastAsia="Calibri" w:hAnsi="Calibri" w:cs="Calibri"/>
        <w:b/>
        <w:bCs/>
        <w:color w:val="696B6B"/>
        <w:sz w:val="18"/>
        <w:szCs w:val="18"/>
        <w:lang w:val="en-US"/>
      </w:rPr>
    </w:pPr>
    <w:r w:rsidRPr="00147C3A">
      <w:rPr>
        <w:rFonts w:ascii="Calibri" w:eastAsia="Calibri" w:hAnsi="Calibri" w:cs="Calibri"/>
        <w:b/>
        <w:bCs/>
        <w:color w:val="696B6B"/>
        <w:sz w:val="18"/>
        <w:szCs w:val="18"/>
        <w:lang w:val="en-US"/>
      </w:rPr>
      <w:t xml:space="preserve">e-mail: Karolina.samczynska@cushwake.com </w:t>
    </w:r>
  </w:p>
  <w:p w14:paraId="32539878" w14:textId="77777777" w:rsidR="00063423" w:rsidRPr="00147C3A" w:rsidRDefault="00063423">
    <w:pPr>
      <w:pBdr>
        <w:top w:val="nil"/>
        <w:left w:val="nil"/>
        <w:bottom w:val="nil"/>
        <w:right w:val="nil"/>
        <w:between w:val="nil"/>
      </w:pBdr>
      <w:tabs>
        <w:tab w:val="center" w:pos="4513"/>
        <w:tab w:val="right" w:pos="9026"/>
      </w:tabs>
      <w:spacing w:line="240" w:lineRule="auto"/>
      <w:rPr>
        <w:color w:val="00000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59BAE" w14:textId="77777777" w:rsidR="00DE1466" w:rsidRDefault="00DE1466">
      <w:pPr>
        <w:spacing w:line="240" w:lineRule="auto"/>
      </w:pPr>
      <w:r>
        <w:separator/>
      </w:r>
    </w:p>
  </w:footnote>
  <w:footnote w:type="continuationSeparator" w:id="0">
    <w:p w14:paraId="128D4F0C" w14:textId="77777777" w:rsidR="00DE1466" w:rsidRDefault="00DE14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39873" w14:textId="77777777" w:rsidR="00063423" w:rsidRDefault="00000000">
    <w:pPr>
      <w:pBdr>
        <w:top w:val="nil"/>
        <w:left w:val="nil"/>
        <w:bottom w:val="nil"/>
        <w:right w:val="nil"/>
        <w:between w:val="nil"/>
      </w:pBdr>
      <w:tabs>
        <w:tab w:val="center" w:pos="4513"/>
        <w:tab w:val="right" w:pos="9026"/>
      </w:tabs>
      <w:spacing w:line="240" w:lineRule="auto"/>
      <w:rPr>
        <w:color w:val="000000"/>
      </w:rPr>
    </w:pPr>
    <w:r>
      <w:rPr>
        <w:noProof/>
      </w:rPr>
      <w:drawing>
        <wp:anchor distT="0" distB="0" distL="114300" distR="114300" simplePos="0" relativeHeight="251658240" behindDoc="0" locked="0" layoutInCell="1" hidden="0" allowOverlap="1" wp14:anchorId="32539879" wp14:editId="3253987A">
          <wp:simplePos x="0" y="0"/>
          <wp:positionH relativeFrom="column">
            <wp:posOffset>1</wp:posOffset>
          </wp:positionH>
          <wp:positionV relativeFrom="paragraph">
            <wp:posOffset>292100</wp:posOffset>
          </wp:positionV>
          <wp:extent cx="1701165" cy="32194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01165" cy="3219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423"/>
    <w:rsid w:val="00063423"/>
    <w:rsid w:val="001048B7"/>
    <w:rsid w:val="00147C3A"/>
    <w:rsid w:val="00170FA2"/>
    <w:rsid w:val="002962B6"/>
    <w:rsid w:val="003A3378"/>
    <w:rsid w:val="003A4CE0"/>
    <w:rsid w:val="003B640A"/>
    <w:rsid w:val="003F60F6"/>
    <w:rsid w:val="00425D24"/>
    <w:rsid w:val="00456618"/>
    <w:rsid w:val="00723CFB"/>
    <w:rsid w:val="007944FE"/>
    <w:rsid w:val="0087132E"/>
    <w:rsid w:val="00906C2F"/>
    <w:rsid w:val="00A72650"/>
    <w:rsid w:val="00AB6307"/>
    <w:rsid w:val="00B824D2"/>
    <w:rsid w:val="00C555F5"/>
    <w:rsid w:val="00DE1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3984D"/>
  <w15:docId w15:val="{FA9F1FCF-DDDA-44AA-81E0-51BA5BF42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147C3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742887">
      <w:bodyDiv w:val="1"/>
      <w:marLeft w:val="0"/>
      <w:marRight w:val="0"/>
      <w:marTop w:val="0"/>
      <w:marBottom w:val="0"/>
      <w:divBdr>
        <w:top w:val="none" w:sz="0" w:space="0" w:color="auto"/>
        <w:left w:val="none" w:sz="0" w:space="0" w:color="auto"/>
        <w:bottom w:val="none" w:sz="0" w:space="0" w:color="auto"/>
        <w:right w:val="none" w:sz="0" w:space="0" w:color="auto"/>
      </w:divBdr>
    </w:div>
    <w:div w:id="836728588">
      <w:bodyDiv w:val="1"/>
      <w:marLeft w:val="0"/>
      <w:marRight w:val="0"/>
      <w:marTop w:val="0"/>
      <w:marBottom w:val="0"/>
      <w:divBdr>
        <w:top w:val="none" w:sz="0" w:space="0" w:color="auto"/>
        <w:left w:val="none" w:sz="0" w:space="0" w:color="auto"/>
        <w:bottom w:val="none" w:sz="0" w:space="0" w:color="auto"/>
        <w:right w:val="none" w:sz="0" w:space="0" w:color="auto"/>
      </w:divBdr>
    </w:div>
    <w:div w:id="1060517519">
      <w:bodyDiv w:val="1"/>
      <w:marLeft w:val="0"/>
      <w:marRight w:val="0"/>
      <w:marTop w:val="0"/>
      <w:marBottom w:val="0"/>
      <w:divBdr>
        <w:top w:val="none" w:sz="0" w:space="0" w:color="auto"/>
        <w:left w:val="none" w:sz="0" w:space="0" w:color="auto"/>
        <w:bottom w:val="none" w:sz="0" w:space="0" w:color="auto"/>
        <w:right w:val="none" w:sz="0" w:space="0" w:color="auto"/>
      </w:divBdr>
    </w:div>
    <w:div w:id="1260597360">
      <w:bodyDiv w:val="1"/>
      <w:marLeft w:val="0"/>
      <w:marRight w:val="0"/>
      <w:marTop w:val="0"/>
      <w:marBottom w:val="0"/>
      <w:divBdr>
        <w:top w:val="none" w:sz="0" w:space="0" w:color="auto"/>
        <w:left w:val="none" w:sz="0" w:space="0" w:color="auto"/>
        <w:bottom w:val="none" w:sz="0" w:space="0" w:color="auto"/>
        <w:right w:val="none" w:sz="0" w:space="0" w:color="auto"/>
      </w:divBdr>
    </w:div>
    <w:div w:id="1537307397">
      <w:bodyDiv w:val="1"/>
      <w:marLeft w:val="0"/>
      <w:marRight w:val="0"/>
      <w:marTop w:val="0"/>
      <w:marBottom w:val="0"/>
      <w:divBdr>
        <w:top w:val="none" w:sz="0" w:space="0" w:color="auto"/>
        <w:left w:val="none" w:sz="0" w:space="0" w:color="auto"/>
        <w:bottom w:val="none" w:sz="0" w:space="0" w:color="auto"/>
        <w:right w:val="none" w:sz="0" w:space="0" w:color="auto"/>
      </w:divBdr>
    </w:div>
    <w:div w:id="2024548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618526F10DA64CBE3916EAA4716759" ma:contentTypeVersion="14" ma:contentTypeDescription="Create a new document." ma:contentTypeScope="" ma:versionID="a6bcf28dd5df189bb159643cb19b040e">
  <xsd:schema xmlns:xsd="http://www.w3.org/2001/XMLSchema" xmlns:xs="http://www.w3.org/2001/XMLSchema" xmlns:p="http://schemas.microsoft.com/office/2006/metadata/properties" xmlns:ns2="5927d1f9-8819-4dd8-877c-e9f8844f9576" xmlns:ns3="016bc716-2ef2-42ff-a34e-e437c0f24fe9" targetNamespace="http://schemas.microsoft.com/office/2006/metadata/properties" ma:root="true" ma:fieldsID="d3f9c4e4a4ed97316d1c896bf0b99438" ns2:_="" ns3:_="">
    <xsd:import namespace="5927d1f9-8819-4dd8-877c-e9f8844f9576"/>
    <xsd:import namespace="016bc716-2ef2-42ff-a34e-e437c0f24f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27d1f9-8819-4dd8-877c-e9f8844f9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8603ae-3637-436a-adfc-4f3f468c95e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6bc716-2ef2-42ff-a34e-e437c0f24f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cb88db-cc8f-49c6-a577-6708ad005284}" ma:internalName="TaxCatchAll" ma:showField="CatchAllData" ma:web="016bc716-2ef2-42ff-a34e-e437c0f24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ngV8HxCZ128iTEBDDnHrpr6JA==">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27d1f9-8819-4dd8-877c-e9f8844f9576">
      <Terms xmlns="http://schemas.microsoft.com/office/infopath/2007/PartnerControls"/>
    </lcf76f155ced4ddcb4097134ff3c332f>
    <TaxCatchAll xmlns="016bc716-2ef2-42ff-a34e-e437c0f24f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2BBBE7-4721-4704-A5A8-C2FECC731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27d1f9-8819-4dd8-877c-e9f8844f9576"/>
    <ds:schemaRef ds:uri="016bc716-2ef2-42ff-a34e-e437c0f24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577BFF4-2F85-47AB-B631-26B8C6640DB5}">
  <ds:schemaRefs>
    <ds:schemaRef ds:uri="http://schemas.microsoft.com/office/2006/metadata/properties"/>
    <ds:schemaRef ds:uri="http://schemas.microsoft.com/office/infopath/2007/PartnerControls"/>
    <ds:schemaRef ds:uri="5927d1f9-8819-4dd8-877c-e9f8844f9576"/>
    <ds:schemaRef ds:uri="016bc716-2ef2-42ff-a34e-e437c0f24fe9"/>
  </ds:schemaRefs>
</ds:datastoreItem>
</file>

<file path=customXml/itemProps4.xml><?xml version="1.0" encoding="utf-8"?>
<ds:datastoreItem xmlns:ds="http://schemas.openxmlformats.org/officeDocument/2006/customXml" ds:itemID="{08FD647E-D2C1-4885-BB17-4E0C5580DC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988</Words>
  <Characters>5637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magdalena ossowska</cp:lastModifiedBy>
  <cp:revision>13</cp:revision>
  <dcterms:created xsi:type="dcterms:W3CDTF">2026-07-15T06:50:00Z</dcterms:created>
  <dcterms:modified xsi:type="dcterms:W3CDTF">2026-07-15T10:50:00Z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0x010100EC618526F10DA64CBE3916EAA4716759</vt:lpwstr>
  </property>
  <property fmtid="{D5CDD505-2E9C-101B-9397-08002B2CF9AE}" pid="3" name="MediaServiceImageTags">
    <vt:lpwstr/>
  </property>
</Properties>
</file>