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62B6CF" w14:textId="77777777" w:rsidR="00197A06" w:rsidRDefault="009F15A2">
      <w:pPr>
        <w:spacing w:after="60" w:line="240" w:lineRule="auto"/>
        <w:rPr>
          <w:rFonts w:ascii="Georgia" w:eastAsia="Georgia" w:hAnsi="Georgia" w:cs="Georgia"/>
        </w:rPr>
      </w:pPr>
      <w:r>
        <w:rPr>
          <w:rFonts w:ascii="Georgia" w:eastAsia="Georgia" w:hAnsi="Georgia" w:cs="Georgia"/>
          <w:b/>
          <w:bCs/>
          <w:color w:val="4B2E83"/>
          <w:sz w:val="18"/>
          <w:szCs w:val="18"/>
        </w:rPr>
        <w:t>PRESS RELEASE</w:t>
      </w:r>
    </w:p>
    <w:p w14:paraId="750C0640" w14:textId="77777777" w:rsidR="00197A06" w:rsidRDefault="009F15A2">
      <w:pPr>
        <w:spacing w:after="100" w:line="240" w:lineRule="auto"/>
        <w:rPr>
          <w:rFonts w:ascii="Georgia" w:eastAsia="Georgia" w:hAnsi="Georgia" w:cs="Georgia"/>
          <w:b/>
          <w:bCs/>
          <w:sz w:val="34"/>
          <w:szCs w:val="34"/>
        </w:rPr>
      </w:pPr>
      <w:r>
        <w:rPr>
          <w:rFonts w:ascii="Georgia" w:eastAsia="Georgia" w:hAnsi="Georgia" w:cs="Georgia"/>
          <w:b/>
          <w:bCs/>
          <w:sz w:val="34"/>
          <w:szCs w:val="34"/>
        </w:rPr>
        <w:t>Adoção de IA na banca europeia ultrapassa 90%, mas persistem lacunas na responsabilização</w:t>
      </w:r>
    </w:p>
    <w:p w14:paraId="6958CA65" w14:textId="255D360D" w:rsidR="00197A06" w:rsidRDefault="009F15A2">
      <w:pPr>
        <w:spacing w:after="100" w:line="240" w:lineRule="auto"/>
        <w:rPr>
          <w:rFonts w:ascii="Georgia" w:eastAsia="Georgia" w:hAnsi="Georgia" w:cs="Georgia"/>
        </w:rPr>
      </w:pPr>
      <w:r>
        <w:rPr>
          <w:rFonts w:ascii="Georgia" w:eastAsia="Georgia" w:hAnsi="Georgia" w:cs="Georgia"/>
          <w:i/>
          <w:iCs/>
          <w:sz w:val="24"/>
          <w:szCs w:val="24"/>
        </w:rPr>
        <w:t>Fórum promovido pela Zango</w:t>
      </w:r>
      <w:r w:rsidR="00F17B30">
        <w:rPr>
          <w:rFonts w:ascii="Georgia" w:eastAsia="Georgia" w:hAnsi="Georgia" w:cs="Georgia"/>
          <w:i/>
          <w:iCs/>
          <w:sz w:val="24"/>
          <w:szCs w:val="24"/>
        </w:rPr>
        <w:t xml:space="preserve"> AI</w:t>
      </w:r>
      <w:r>
        <w:rPr>
          <w:rFonts w:ascii="Georgia" w:eastAsia="Georgia" w:hAnsi="Georgia" w:cs="Georgia"/>
          <w:i/>
          <w:iCs/>
          <w:sz w:val="24"/>
          <w:szCs w:val="24"/>
        </w:rPr>
        <w:t xml:space="preserve"> reuniu o Banco Central Europeu, supervisores portugueses e re</w:t>
      </w:r>
      <w:r w:rsidR="00222F5F">
        <w:rPr>
          <w:rFonts w:ascii="Georgia" w:eastAsia="Georgia" w:hAnsi="Georgia" w:cs="Georgia"/>
          <w:i/>
          <w:iCs/>
          <w:sz w:val="24"/>
          <w:szCs w:val="24"/>
        </w:rPr>
        <w:t>sponsáveis</w:t>
      </w:r>
      <w:r>
        <w:rPr>
          <w:rFonts w:ascii="Georgia" w:eastAsia="Georgia" w:hAnsi="Georgia" w:cs="Georgia"/>
          <w:i/>
          <w:iCs/>
          <w:sz w:val="24"/>
          <w:szCs w:val="24"/>
        </w:rPr>
        <w:t xml:space="preserve"> da banca e dos seguros para debater a governação da IA, a responsabilização e a resiliência operacional.</w:t>
      </w:r>
    </w:p>
    <w:p w14:paraId="0E597C5B" w14:textId="77777777" w:rsidR="00197A06" w:rsidRDefault="00197A06">
      <w:pPr>
        <w:pBdr>
          <w:bottom w:val="single" w:sz="6" w:space="1" w:color="4B2E83"/>
        </w:pBdr>
        <w:spacing w:after="200" w:line="240" w:lineRule="auto"/>
        <w:rPr>
          <w:rFonts w:ascii="Georgia" w:eastAsia="Georgia" w:hAnsi="Georgia" w:cs="Georgia"/>
        </w:rPr>
      </w:pPr>
    </w:p>
    <w:p w14:paraId="1A04659C" w14:textId="4CC4C6C7" w:rsidR="00197A06" w:rsidRDefault="009F15A2">
      <w:pPr>
        <w:spacing w:after="160"/>
        <w:jc w:val="both"/>
        <w:rPr>
          <w:rFonts w:ascii="Georgia" w:eastAsia="Georgia" w:hAnsi="Georgia" w:cs="Georgia"/>
        </w:rPr>
      </w:pPr>
      <w:r>
        <w:rPr>
          <w:rFonts w:ascii="Georgia" w:eastAsia="Georgia" w:hAnsi="Georgia" w:cs="Georgia"/>
          <w:b/>
          <w:bCs/>
        </w:rPr>
        <w:t xml:space="preserve">LISBOA, </w:t>
      </w:r>
      <w:r w:rsidR="00836AA3">
        <w:rPr>
          <w:rFonts w:ascii="Georgia" w:eastAsia="Georgia" w:hAnsi="Georgia" w:cs="Georgia"/>
          <w:b/>
          <w:bCs/>
        </w:rPr>
        <w:t>15</w:t>
      </w:r>
      <w:r>
        <w:rPr>
          <w:rFonts w:ascii="Georgia" w:eastAsia="Georgia" w:hAnsi="Georgia" w:cs="Georgia"/>
          <w:b/>
          <w:bCs/>
        </w:rPr>
        <w:t xml:space="preserve"> de julho de 2026 - </w:t>
      </w:r>
      <w:r>
        <w:rPr>
          <w:rFonts w:ascii="Georgia" w:eastAsia="Georgia" w:hAnsi="Georgia" w:cs="Georgia"/>
        </w:rPr>
        <w:t>A Inteligência Artificial (IA) já é utilizada por mais de 93% dos bancos sob supervisão bancária europeia. No entanto, os modelos de governação e de responsabilização ainda não acompanham o ritmo de adoção da tecnologia, alertaram reguladores e instituições financeiras durante um fórum promovido pela Zango</w:t>
      </w:r>
      <w:r w:rsidR="00F17B30">
        <w:rPr>
          <w:rFonts w:ascii="Georgia" w:eastAsia="Georgia" w:hAnsi="Georgia" w:cs="Georgia"/>
        </w:rPr>
        <w:t xml:space="preserve"> AI</w:t>
      </w:r>
      <w:r>
        <w:rPr>
          <w:rFonts w:ascii="Georgia" w:eastAsia="Georgia" w:hAnsi="Georgia" w:cs="Georgia"/>
        </w:rPr>
        <w:t>.</w:t>
      </w:r>
    </w:p>
    <w:p w14:paraId="35BACE24" w14:textId="106BA610" w:rsidR="00197A06" w:rsidRDefault="009F15A2">
      <w:pPr>
        <w:spacing w:after="160"/>
        <w:jc w:val="both"/>
        <w:rPr>
          <w:rFonts w:ascii="Georgia" w:eastAsia="Georgia" w:hAnsi="Georgia" w:cs="Georgia"/>
        </w:rPr>
      </w:pPr>
      <w:r>
        <w:rPr>
          <w:rFonts w:ascii="Georgia" w:eastAsia="Georgia" w:hAnsi="Georgia" w:cs="Georgia"/>
        </w:rPr>
        <w:t>Realizado no Grémio Literário, o encontro reuniu re</w:t>
      </w:r>
      <w:r w:rsidR="00222F5F">
        <w:rPr>
          <w:rFonts w:ascii="Georgia" w:eastAsia="Georgia" w:hAnsi="Georgia" w:cs="Georgia"/>
        </w:rPr>
        <w:t xml:space="preserve">sponsáveis </w:t>
      </w:r>
      <w:r>
        <w:rPr>
          <w:rFonts w:ascii="Georgia" w:eastAsia="Georgia" w:hAnsi="Georgia" w:cs="Georgia"/>
        </w:rPr>
        <w:t xml:space="preserve">do Banco Central Europeu, da Autoridade de Supervisão de Seguros e Fundos de Pensões (ASF), da Comissão do Mercado de Valores Mobiliários (CMVM), do Banco de Portugal, da Caixa Geral de Depósitos e da </w:t>
      </w:r>
      <w:proofErr w:type="spellStart"/>
      <w:r>
        <w:rPr>
          <w:rFonts w:ascii="Georgia" w:eastAsia="Georgia" w:hAnsi="Georgia" w:cs="Georgia"/>
        </w:rPr>
        <w:t>Ageas</w:t>
      </w:r>
      <w:proofErr w:type="spellEnd"/>
      <w:r>
        <w:rPr>
          <w:rFonts w:ascii="Georgia" w:eastAsia="Georgia" w:hAnsi="Georgia" w:cs="Georgia"/>
        </w:rPr>
        <w:t>. Em debate esteve a forma como o setor financeiro pode tirar partido da IA, garantindo simultaneamente a proteção dos consumidores, a estabilidade financeira e o reforço da resiliência operacional.</w:t>
      </w:r>
    </w:p>
    <w:p w14:paraId="5A8304F5" w14:textId="77777777" w:rsidR="00197A06" w:rsidRDefault="009F15A2">
      <w:pPr>
        <w:spacing w:after="160"/>
        <w:jc w:val="both"/>
        <w:rPr>
          <w:rFonts w:ascii="Georgia" w:eastAsia="Georgia" w:hAnsi="Georgia" w:cs="Georgia"/>
        </w:rPr>
      </w:pPr>
      <w:r>
        <w:rPr>
          <w:rFonts w:ascii="Georgia" w:eastAsia="Georgia" w:hAnsi="Georgia" w:cs="Georgia"/>
        </w:rPr>
        <w:t xml:space="preserve">Na intervenção principal, Pedro Machado, membro do Conselho de Supervisão do Banco Central Europeu, revelou que mais de 93% dos bancos europeus supervisionados já utilizavam IA e que o investimento nesta tecnologia foi de cerca de quatro mil milhões de euros até ao final de 2025. O nível de adoção é mais elevado em áreas como a deteção de fraude e cibercrime, seguindo-se o marketing, os assistentes conversacionais e a avaliação do risco de crédito. No entanto, muitas instituições continuam presas naquilo que Pedro Machado classificou como uma “armadilha da micro eficiência”, automatizando tarefas isoladas para obter ganhos pontuais, mas que nem sempre se traduzem em valor para a organização. Ultrapassar esta limitação exigirá que as instituições redesenhem os seus processos e modelos de negócio, em vez de se limitarem a aplicar IA às atuais formas de trabalho. </w:t>
      </w:r>
      <w:r>
        <w:rPr>
          <w:rFonts w:ascii="Georgia" w:eastAsia="Georgia" w:hAnsi="Georgia" w:cs="Georgia"/>
          <w:i/>
          <w:iCs/>
        </w:rPr>
        <w:t>“A transformação digital não pode existir sem confiança, tal como a confiança não pode existir sem resiliência”</w:t>
      </w:r>
      <w:r>
        <w:rPr>
          <w:rFonts w:ascii="Georgia" w:eastAsia="Georgia" w:hAnsi="Georgia" w:cs="Georgia"/>
        </w:rPr>
        <w:t>.</w:t>
      </w:r>
    </w:p>
    <w:p w14:paraId="6F620896" w14:textId="77777777" w:rsidR="00197A06" w:rsidRDefault="009F15A2">
      <w:pPr>
        <w:spacing w:after="160"/>
        <w:jc w:val="both"/>
        <w:rPr>
          <w:rFonts w:ascii="Georgia" w:eastAsia="Georgia" w:hAnsi="Georgia" w:cs="Georgia"/>
        </w:rPr>
      </w:pPr>
      <w:r>
        <w:rPr>
          <w:rFonts w:ascii="Georgia" w:eastAsia="Georgia" w:hAnsi="Georgia" w:cs="Georgia"/>
        </w:rPr>
        <w:t xml:space="preserve">O responsável identificou três expectativas fundamentais da supervisão para os bancos: uma responsabilização clara e inequívoca pelas decisões assistidas por IA; uma supervisão eficaz por parte da gestão de topo; e um escrutínio rigoroso pelas funções de risco, </w:t>
      </w:r>
      <w:proofErr w:type="spellStart"/>
      <w:r>
        <w:rPr>
          <w:rFonts w:ascii="Georgia" w:eastAsia="Georgia" w:hAnsi="Georgia" w:cs="Georgia"/>
          <w:i/>
          <w:iCs/>
        </w:rPr>
        <w:t>compliance</w:t>
      </w:r>
      <w:proofErr w:type="spellEnd"/>
      <w:r>
        <w:rPr>
          <w:rFonts w:ascii="Georgia" w:eastAsia="Georgia" w:hAnsi="Georgia" w:cs="Georgia"/>
        </w:rPr>
        <w:t xml:space="preserve"> e auditoria interna. Pedro Machado alertou ainda que a responsabilidade pela utilização da IA se encontra frequentemente fragmentada entre equipas tecnológicas e unidades de negócio, sem um quadro de governação claramente definido. Referiu também que os modelos de IA mais avançados já conseguem identificar vulnerabilidades de software e gerar, em poucos minutos, código capaz de explorar essas falhas. A sua intervenção surge na sequência das cartas, conhecidas como “</w:t>
      </w:r>
      <w:proofErr w:type="spellStart"/>
      <w:r>
        <w:rPr>
          <w:rFonts w:ascii="Georgia" w:eastAsia="Georgia" w:hAnsi="Georgia" w:cs="Georgia"/>
        </w:rPr>
        <w:t>Dear</w:t>
      </w:r>
      <w:proofErr w:type="spellEnd"/>
      <w:r>
        <w:rPr>
          <w:rFonts w:ascii="Georgia" w:eastAsia="Georgia" w:hAnsi="Georgia" w:cs="Georgia"/>
        </w:rPr>
        <w:t xml:space="preserve"> CEO”, recentemente enviadas pelo BCE às instituições financeiras, nas quais o supervisor solicitou a correção destas vulnerabilidades e a apresentação de planos concretos até 31 de outubro.</w:t>
      </w:r>
    </w:p>
    <w:p w14:paraId="1EF05DAD" w14:textId="77777777" w:rsidR="00197A06" w:rsidRDefault="009F15A2">
      <w:pPr>
        <w:spacing w:after="160"/>
        <w:jc w:val="both"/>
        <w:rPr>
          <w:rFonts w:ascii="Georgia" w:eastAsia="Georgia" w:hAnsi="Georgia" w:cs="Georgia"/>
        </w:rPr>
      </w:pPr>
      <w:r>
        <w:rPr>
          <w:rFonts w:ascii="Georgia" w:eastAsia="Georgia" w:hAnsi="Georgia" w:cs="Georgia"/>
        </w:rPr>
        <w:t>Uma das principais conclusões do fórum foi que a responsabilidade pelas decisões assistidas por IA deve continuar a estar claramente atribuída a pessoas. As instituições financeiras devem identificar quem é responsável por cada sistema, quem aprova a sua utilização, quem avalia criticamente os seus resultados e quem responde quando uma decisão produz um resultado incorreto, injusto ou prejudicial.</w:t>
      </w:r>
    </w:p>
    <w:p w14:paraId="4B1DC5E8" w14:textId="06A0BF74" w:rsidR="00AC4A77" w:rsidRDefault="009F15A2">
      <w:pPr>
        <w:spacing w:after="160"/>
        <w:jc w:val="both"/>
        <w:rPr>
          <w:rFonts w:ascii="Georgia" w:eastAsia="Georgia" w:hAnsi="Georgia" w:cs="Georgia"/>
        </w:rPr>
      </w:pPr>
      <w:r>
        <w:rPr>
          <w:rFonts w:ascii="Georgia" w:eastAsia="Georgia" w:hAnsi="Georgia" w:cs="Georgia"/>
        </w:rPr>
        <w:lastRenderedPageBreak/>
        <w:t>Os supervisores financeiros identificaram preocupações em duas áreas principais: a proteção dos consumidores e a governação dos modelos, por um lado, e a resiliência operacional e d</w:t>
      </w:r>
      <w:r w:rsidR="00F17B30">
        <w:rPr>
          <w:rFonts w:ascii="Georgia" w:eastAsia="Georgia" w:hAnsi="Georgia" w:cs="Georgia"/>
        </w:rPr>
        <w:t>e</w:t>
      </w:r>
      <w:r>
        <w:rPr>
          <w:rFonts w:ascii="Georgia" w:eastAsia="Georgia" w:hAnsi="Georgia" w:cs="Georgia"/>
        </w:rPr>
        <w:t xml:space="preserve"> mercado, por outro. Responsáveis da CMVM e do Banco de</w:t>
      </w:r>
      <w:r w:rsidR="00AC4A77">
        <w:rPr>
          <w:rFonts w:ascii="Georgia" w:eastAsia="Georgia" w:hAnsi="Georgia" w:cs="Georgia"/>
        </w:rPr>
        <w:t xml:space="preserve"> </w:t>
      </w:r>
      <w:r>
        <w:rPr>
          <w:rFonts w:ascii="Georgia" w:eastAsia="Georgia" w:hAnsi="Georgia" w:cs="Georgia"/>
        </w:rPr>
        <w:t xml:space="preserve">Portugal defenderam que a prioridade imediata da Europa não deve passar necessariamente pela introdução de regulamentação adicional, mas sim </w:t>
      </w:r>
      <w:r w:rsidR="00F17B30">
        <w:rPr>
          <w:rFonts w:ascii="Georgia" w:eastAsia="Georgia" w:hAnsi="Georgia" w:cs="Georgia"/>
        </w:rPr>
        <w:t xml:space="preserve">por </w:t>
      </w:r>
      <w:r>
        <w:rPr>
          <w:rFonts w:ascii="Georgia" w:eastAsia="Georgia" w:hAnsi="Georgia" w:cs="Georgia"/>
        </w:rPr>
        <w:t>uma maior convergência entre supervisores e por uma aplicação mais eficaz do quadro regulatório existente, incluindo o Regulamento relativo à Resiliência Operacional Digital (DORA).</w:t>
      </w:r>
    </w:p>
    <w:p w14:paraId="3D441B97" w14:textId="5863C59B" w:rsidR="00AC4A77" w:rsidRDefault="00AC4A77">
      <w:pPr>
        <w:spacing w:after="160"/>
        <w:jc w:val="both"/>
        <w:rPr>
          <w:rFonts w:ascii="Georgia" w:eastAsia="Georgia" w:hAnsi="Georgia" w:cs="Georgia"/>
        </w:rPr>
      </w:pPr>
      <w:r>
        <w:rPr>
          <w:rFonts w:ascii="Georgia" w:eastAsia="Georgia" w:hAnsi="Georgia" w:cs="Georgia"/>
        </w:rPr>
        <w:t xml:space="preserve">Por sua vez, a ASF sublinhou que tem procurado fomentar a "inovação com responsabilidade", não querendo ser um entrave à inovação, mas que quer acompanhar os desenvolvimentos de perto, de forma a assegurar que a proteção dos consumidores e </w:t>
      </w:r>
      <w:r w:rsidR="00F17B30">
        <w:rPr>
          <w:rFonts w:ascii="Georgia" w:eastAsia="Georgia" w:hAnsi="Georgia" w:cs="Georgia"/>
        </w:rPr>
        <w:t xml:space="preserve">a </w:t>
      </w:r>
      <w:r>
        <w:rPr>
          <w:rFonts w:ascii="Georgia" w:eastAsia="Georgia" w:hAnsi="Georgia" w:cs="Georgia"/>
        </w:rPr>
        <w:t xml:space="preserve">confiança no sistema não são comprometidos. Este compromisso materializa-se também através do </w:t>
      </w:r>
      <w:proofErr w:type="spellStart"/>
      <w:r>
        <w:rPr>
          <w:rFonts w:ascii="Georgia" w:eastAsia="Georgia" w:hAnsi="Georgia" w:cs="Georgia"/>
        </w:rPr>
        <w:t>InovaSup</w:t>
      </w:r>
      <w:proofErr w:type="spellEnd"/>
      <w:r>
        <w:rPr>
          <w:rFonts w:ascii="Georgia" w:eastAsia="Georgia" w:hAnsi="Georgia" w:cs="Georgia"/>
        </w:rPr>
        <w:t>, a ocorrer ainda em 2026.</w:t>
      </w:r>
    </w:p>
    <w:p w14:paraId="11B73B7F" w14:textId="5FDD6715" w:rsidR="00197A06" w:rsidRDefault="009F15A2">
      <w:pPr>
        <w:spacing w:after="160"/>
        <w:jc w:val="both"/>
        <w:rPr>
          <w:rFonts w:ascii="Georgia" w:eastAsia="Georgia" w:hAnsi="Georgia" w:cs="Georgia"/>
        </w:rPr>
      </w:pPr>
      <w:r>
        <w:rPr>
          <w:rFonts w:ascii="Georgia" w:eastAsia="Georgia" w:hAnsi="Georgia" w:cs="Georgia"/>
        </w:rPr>
        <w:t xml:space="preserve">Relativamente à aplicação prática da IA pelas instituições financeiras, os responsáveis da CGD e da </w:t>
      </w:r>
      <w:proofErr w:type="spellStart"/>
      <w:r>
        <w:rPr>
          <w:rFonts w:ascii="Georgia" w:eastAsia="Georgia" w:hAnsi="Georgia" w:cs="Georgia"/>
        </w:rPr>
        <w:t>Ageas</w:t>
      </w:r>
      <w:proofErr w:type="spellEnd"/>
      <w:r>
        <w:rPr>
          <w:rFonts w:ascii="Georgia" w:eastAsia="Georgia" w:hAnsi="Georgia" w:cs="Georgia"/>
        </w:rPr>
        <w:t xml:space="preserve"> analisaram o impacto da tecnologia nos processos internos, na deteção de fraude e na relação com os clientes. Raquel Vila Verde, Diretora de </w:t>
      </w:r>
      <w:proofErr w:type="spellStart"/>
      <w:r>
        <w:rPr>
          <w:rFonts w:ascii="Georgia" w:eastAsia="Georgia" w:hAnsi="Georgia" w:cs="Georgia"/>
          <w:i/>
          <w:iCs/>
        </w:rPr>
        <w:t>Compliance</w:t>
      </w:r>
      <w:proofErr w:type="spellEnd"/>
      <w:r>
        <w:rPr>
          <w:rFonts w:ascii="Georgia" w:eastAsia="Georgia" w:hAnsi="Georgia" w:cs="Georgia"/>
        </w:rPr>
        <w:t xml:space="preserve"> do Grupo CGD</w:t>
      </w:r>
      <w:r w:rsidR="00F17B30">
        <w:rPr>
          <w:rFonts w:ascii="Georgia" w:eastAsia="Georgia" w:hAnsi="Georgia" w:cs="Georgia"/>
        </w:rPr>
        <w:t>,</w:t>
      </w:r>
      <w:r>
        <w:rPr>
          <w:rFonts w:ascii="Georgia" w:eastAsia="Georgia" w:hAnsi="Georgia" w:cs="Georgia"/>
        </w:rPr>
        <w:t xml:space="preserve"> disse que </w:t>
      </w:r>
      <w:r>
        <w:rPr>
          <w:rFonts w:ascii="Georgia" w:eastAsia="Georgia" w:hAnsi="Georgia" w:cs="Georgia"/>
          <w:i/>
          <w:iCs/>
        </w:rPr>
        <w:t>“A IA permite-nos produzir conteúdos de marketing dirigidos aos clientes mais rapidamente do que nunca, mas a obrigação de garantir que esses conteúdos são justos, claros e compreensíveis mantém-se. O desafio passa por assegurar uma revisão humana efetiva à medida que o volume aumenta, evitando que a aprovação se transforme numa mera formalidade”.</w:t>
      </w:r>
    </w:p>
    <w:p w14:paraId="3D72224C" w14:textId="2DE37F2C" w:rsidR="00197A06" w:rsidRDefault="009F15A2">
      <w:pPr>
        <w:spacing w:after="160"/>
        <w:jc w:val="both"/>
        <w:rPr>
          <w:rFonts w:ascii="Georgia" w:eastAsia="Georgia" w:hAnsi="Georgia" w:cs="Georgia"/>
        </w:rPr>
      </w:pPr>
      <w:r>
        <w:rPr>
          <w:rFonts w:ascii="Georgia" w:eastAsia="Georgia" w:hAnsi="Georgia" w:cs="Georgia"/>
        </w:rPr>
        <w:t>Ritesh Singhania, cofundador e CEO da Zango</w:t>
      </w:r>
      <w:r w:rsidR="00F17B30">
        <w:rPr>
          <w:rFonts w:ascii="Georgia" w:eastAsia="Georgia" w:hAnsi="Georgia" w:cs="Georgia"/>
        </w:rPr>
        <w:t xml:space="preserve"> AI</w:t>
      </w:r>
      <w:r>
        <w:rPr>
          <w:rFonts w:ascii="Georgia" w:eastAsia="Georgia" w:hAnsi="Georgia" w:cs="Georgia"/>
        </w:rPr>
        <w:t xml:space="preserve">, afirmou que </w:t>
      </w:r>
      <w:r>
        <w:rPr>
          <w:rFonts w:ascii="Georgia" w:eastAsia="Georgia" w:hAnsi="Georgia" w:cs="Georgia"/>
          <w:i/>
          <w:iCs/>
        </w:rPr>
        <w:t>“Reunir o Banco Central Europeu, os reguladores e responsáveis do setor financeiro português para este género de debate é fundamental. A adoção da IA oferece oportunidades transformadoras, sobretudo no domínio da conformidade regulamentar. Por exemplo, a IA pode ajudar as instituições a assegurar a conformidade dos conteúdos de marketing perante o crescente volume de materiais produzidos nos canais digitais, identificando automaticamente potenciais problemas. Contudo, a governação destes sistemas tem de ser robusta, caso contrário, as empresas ficam expostas a vulnerabilidades que podem ser exploradas por agentes mal-intencionados”</w:t>
      </w:r>
      <w:r w:rsidR="00F17B30">
        <w:rPr>
          <w:rFonts w:ascii="Georgia" w:eastAsia="Georgia" w:hAnsi="Georgia" w:cs="Georgia"/>
          <w:i/>
          <w:iCs/>
        </w:rPr>
        <w:t>.</w:t>
      </w:r>
    </w:p>
    <w:p w14:paraId="5E9A8910" w14:textId="77777777" w:rsidR="00197A06" w:rsidRDefault="009F15A2">
      <w:pPr>
        <w:spacing w:after="160"/>
        <w:jc w:val="both"/>
        <w:rPr>
          <w:rFonts w:ascii="Georgia" w:eastAsia="Georgia" w:hAnsi="Georgia" w:cs="Georgia"/>
        </w:rPr>
      </w:pPr>
      <w:r>
        <w:rPr>
          <w:rFonts w:ascii="Georgia" w:eastAsia="Georgia" w:hAnsi="Georgia" w:cs="Georgia"/>
        </w:rPr>
        <w:t>O fórum concluiu que a próxima fase da adoção da IA nos serviços financeiros dependerá não apenas do acesso à tecnologia, mas também da capacidade das instituições para combinarem inovação com uma responsabilização humana clara, modelos de governação eficazes e a confiança dos consumidores.</w:t>
      </w:r>
    </w:p>
    <w:p w14:paraId="69890147" w14:textId="77777777" w:rsidR="00197A06" w:rsidRDefault="00197A06">
      <w:pPr>
        <w:spacing w:after="160"/>
        <w:jc w:val="both"/>
        <w:rPr>
          <w:rFonts w:ascii="Georgia" w:eastAsia="Georgia" w:hAnsi="Georgia" w:cs="Georgia"/>
          <w:b/>
          <w:bCs/>
        </w:rPr>
      </w:pPr>
    </w:p>
    <w:p w14:paraId="4802F229" w14:textId="77777777" w:rsidR="00197A06" w:rsidRDefault="009F15A2">
      <w:pPr>
        <w:jc w:val="both"/>
        <w:rPr>
          <w:b/>
          <w:bCs/>
          <w:sz w:val="20"/>
          <w:szCs w:val="20"/>
        </w:rPr>
      </w:pPr>
      <w:r>
        <w:rPr>
          <w:b/>
          <w:bCs/>
          <w:sz w:val="20"/>
          <w:szCs w:val="20"/>
        </w:rPr>
        <w:t>Sobre a Zango AI</w:t>
      </w:r>
    </w:p>
    <w:p w14:paraId="3410E1EB" w14:textId="0EF335B1" w:rsidR="00197A06" w:rsidRDefault="009F15A2">
      <w:pPr>
        <w:jc w:val="both"/>
        <w:rPr>
          <w:sz w:val="18"/>
          <w:szCs w:val="18"/>
        </w:rPr>
      </w:pPr>
      <w:r>
        <w:rPr>
          <w:sz w:val="18"/>
          <w:szCs w:val="18"/>
        </w:rPr>
        <w:t>A Zango AI é uma empresa tecnológica que desenvolve soluções de inteligência artificial aplicadas à conformidade no setor financeiro. A sua plataforma permite a automatização de processos regulamentares complexos, incluindo a monitorização regulamentar, a análise de lacunas e a gestão de políticas e controlos internos. Fundada em 2024, a empresa opera a nível internacional, com presença na Europa, no Reino Unido, nos Estados Unidos e na Índia, e escritórios em Londres, Lisboa e Bangalore. A Zango AI posiciona-se como uma infraestrutura de conformidade de nova geração,</w:t>
      </w:r>
      <w:r w:rsidR="00F17B30">
        <w:rPr>
          <w:sz w:val="18"/>
          <w:szCs w:val="18"/>
        </w:rPr>
        <w:t xml:space="preserve"> assente em modelos de IA com engenharia de contexto e supervisão humana</w:t>
      </w:r>
      <w:r>
        <w:rPr>
          <w:sz w:val="18"/>
          <w:szCs w:val="18"/>
        </w:rPr>
        <w:t>, apoiando as instituições financeiras na adaptação a um ambiente regulatório cada vez mais exigente.</w:t>
      </w:r>
    </w:p>
    <w:p w14:paraId="06B7B1BE" w14:textId="77777777" w:rsidR="00197A06" w:rsidRDefault="00197A06" w:rsidP="00F17B30">
      <w:pPr>
        <w:spacing w:line="240" w:lineRule="auto"/>
      </w:pPr>
    </w:p>
    <w:p w14:paraId="1344E78F" w14:textId="77777777" w:rsidR="00F17B30" w:rsidRDefault="00F17B30" w:rsidP="00F17B30">
      <w:pPr>
        <w:spacing w:line="240" w:lineRule="auto"/>
      </w:pPr>
    </w:p>
    <w:p w14:paraId="502A706F" w14:textId="77777777" w:rsidR="00197A06" w:rsidRDefault="009F15A2" w:rsidP="00F17B30">
      <w:pPr>
        <w:pBdr>
          <w:top w:val="nil"/>
          <w:left w:val="nil"/>
          <w:bottom w:val="nil"/>
          <w:right w:val="nil"/>
          <w:between w:val="nil"/>
        </w:pBdr>
        <w:spacing w:line="240" w:lineRule="auto"/>
        <w:ind w:right="6"/>
        <w:rPr>
          <w:rFonts w:ascii="Helvetica Neue" w:eastAsia="Helvetica Neue" w:hAnsi="Helvetica Neue" w:cs="Helvetica Neue"/>
          <w:b/>
          <w:bCs/>
          <w:color w:val="000000"/>
          <w:sz w:val="18"/>
          <w:szCs w:val="18"/>
        </w:rPr>
      </w:pPr>
      <w:r>
        <w:rPr>
          <w:rFonts w:ascii="Helvetica Neue" w:eastAsia="Helvetica Neue" w:hAnsi="Helvetica Neue" w:cs="Helvetica Neue"/>
          <w:b/>
          <w:bCs/>
          <w:color w:val="000000"/>
          <w:sz w:val="18"/>
          <w:szCs w:val="18"/>
        </w:rPr>
        <w:t>Contactos para Media</w:t>
      </w:r>
    </w:p>
    <w:p w14:paraId="072824D3" w14:textId="77777777" w:rsidR="00197A06" w:rsidRDefault="009F15A2" w:rsidP="00F17B30">
      <w:pPr>
        <w:pBdr>
          <w:top w:val="nil"/>
          <w:left w:val="nil"/>
          <w:bottom w:val="nil"/>
          <w:right w:val="nil"/>
          <w:between w:val="nil"/>
        </w:pBdr>
        <w:spacing w:line="240" w:lineRule="auto"/>
        <w:rPr>
          <w:rFonts w:ascii="Helvetica Neue" w:eastAsia="Helvetica Neue" w:hAnsi="Helvetica Neue" w:cs="Helvetica Neue"/>
          <w:color w:val="000000"/>
          <w:sz w:val="18"/>
          <w:szCs w:val="18"/>
        </w:rPr>
      </w:pPr>
      <w:r>
        <w:rPr>
          <w:rFonts w:ascii="Helvetica Neue" w:eastAsia="Helvetica Neue" w:hAnsi="Helvetica Neue" w:cs="Helvetica Neue"/>
          <w:color w:val="000000"/>
          <w:sz w:val="18"/>
          <w:szCs w:val="18"/>
        </w:rPr>
        <w:t>Lift Consulting</w:t>
      </w:r>
    </w:p>
    <w:p w14:paraId="2A19659B" w14:textId="77777777" w:rsidR="00197A06" w:rsidRDefault="009F15A2" w:rsidP="00F17B30">
      <w:pPr>
        <w:pBdr>
          <w:top w:val="nil"/>
          <w:left w:val="nil"/>
          <w:bottom w:val="nil"/>
          <w:right w:val="nil"/>
          <w:between w:val="nil"/>
        </w:pBdr>
        <w:spacing w:line="240" w:lineRule="auto"/>
        <w:rPr>
          <w:rFonts w:ascii="Helvetica Neue" w:eastAsia="Helvetica Neue" w:hAnsi="Helvetica Neue" w:cs="Helvetica Neue"/>
          <w:color w:val="000000"/>
          <w:sz w:val="18"/>
          <w:szCs w:val="18"/>
        </w:rPr>
      </w:pPr>
      <w:r>
        <w:rPr>
          <w:rFonts w:ascii="Helvetica Neue" w:eastAsia="Helvetica Neue" w:hAnsi="Helvetica Neue" w:cs="Helvetica Neue"/>
          <w:color w:val="000000"/>
          <w:sz w:val="18"/>
          <w:szCs w:val="18"/>
        </w:rPr>
        <w:t xml:space="preserve">Sofia Lareiro | </w:t>
      </w:r>
      <w:hyperlink r:id="rId7">
        <w:r>
          <w:rPr>
            <w:rFonts w:ascii="Helvetica Neue" w:eastAsia="Helvetica Neue" w:hAnsi="Helvetica Neue" w:cs="Helvetica Neue"/>
            <w:color w:val="0055A8"/>
            <w:sz w:val="18"/>
            <w:szCs w:val="18"/>
          </w:rPr>
          <w:t>sofia.lareiro@lift.com.pt</w:t>
        </w:r>
      </w:hyperlink>
      <w:r>
        <w:rPr>
          <w:rFonts w:ascii="Helvetica Neue" w:eastAsia="Helvetica Neue" w:hAnsi="Helvetica Neue" w:cs="Helvetica Neue"/>
          <w:color w:val="000000"/>
          <w:sz w:val="18"/>
          <w:szCs w:val="18"/>
        </w:rPr>
        <w:t xml:space="preserve"> | 934 847 492</w:t>
      </w:r>
    </w:p>
    <w:p w14:paraId="2B5BB291" w14:textId="77777777" w:rsidR="00197A06" w:rsidRDefault="00197A06" w:rsidP="00F17B30">
      <w:pPr>
        <w:spacing w:line="240" w:lineRule="auto"/>
      </w:pPr>
    </w:p>
    <w:sectPr w:rsidR="00197A06" w:rsidSect="00F17B30">
      <w:headerReference w:type="default" r:id="rId8"/>
      <w:pgSz w:w="11909" w:h="16834"/>
      <w:pgMar w:top="1440" w:right="1440" w:bottom="1134"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2CE813" w14:textId="77777777" w:rsidR="00B20BDD" w:rsidRDefault="00B20BDD">
      <w:pPr>
        <w:spacing w:line="240" w:lineRule="auto"/>
      </w:pPr>
      <w:r>
        <w:separator/>
      </w:r>
    </w:p>
  </w:endnote>
  <w:endnote w:type="continuationSeparator" w:id="0">
    <w:p w14:paraId="7922EB08" w14:textId="77777777" w:rsidR="00B20BDD" w:rsidRDefault="00B20BD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E738771C-F200-4484-BD73-4990EF10FD5F}"/>
    <w:embedBold r:id="rId2" w:fontKey="{7577541B-BECA-4110-9AB7-73568C09126E}"/>
    <w:embedItalic r:id="rId3" w:fontKey="{54A14918-3CB3-461A-8060-332CAE87AC67}"/>
  </w:font>
  <w:font w:name="Helvetica Neue">
    <w:charset w:val="00"/>
    <w:family w:val="auto"/>
    <w:pitch w:val="default"/>
    <w:embedRegular r:id="rId4" w:fontKey="{E2B25E7E-0782-4B01-A6FA-0E8FA731BBAC}"/>
    <w:embedBold r:id="rId5" w:fontKey="{70D3EB5A-3ECA-4941-8EFD-5C96A84D5936}"/>
  </w:font>
  <w:font w:name="Calibri">
    <w:panose1 w:val="020F0502020204030204"/>
    <w:charset w:val="00"/>
    <w:family w:val="swiss"/>
    <w:pitch w:val="variable"/>
    <w:sig w:usb0="E4002EFF" w:usb1="C200247B" w:usb2="00000009" w:usb3="00000000" w:csb0="000001FF" w:csb1="00000000"/>
    <w:embedRegular r:id="rId6" w:fontKey="{E49BC285-8D06-443B-BDB8-5123A55E9AE0}"/>
  </w:font>
  <w:font w:name="Cambria">
    <w:panose1 w:val="02040503050406030204"/>
    <w:charset w:val="00"/>
    <w:family w:val="roman"/>
    <w:pitch w:val="variable"/>
    <w:sig w:usb0="E00006FF" w:usb1="420024FF" w:usb2="02000000" w:usb3="00000000" w:csb0="0000019F" w:csb1="00000000"/>
    <w:embedRegular r:id="rId7" w:fontKey="{186FA84A-9528-4A34-B68A-69714D17F05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3C6972" w14:textId="77777777" w:rsidR="00B20BDD" w:rsidRDefault="00B20BDD">
      <w:pPr>
        <w:spacing w:line="240" w:lineRule="auto"/>
      </w:pPr>
      <w:r>
        <w:separator/>
      </w:r>
    </w:p>
  </w:footnote>
  <w:footnote w:type="continuationSeparator" w:id="0">
    <w:p w14:paraId="0F3B6997" w14:textId="77777777" w:rsidR="00B20BDD" w:rsidRDefault="00B20BD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9216B7" w14:textId="77777777" w:rsidR="00197A06" w:rsidRDefault="009F15A2">
    <w:pPr>
      <w:pBdr>
        <w:top w:val="nil"/>
        <w:left w:val="nil"/>
        <w:bottom w:val="nil"/>
        <w:right w:val="nil"/>
        <w:between w:val="nil"/>
      </w:pBdr>
      <w:tabs>
        <w:tab w:val="center" w:pos="4252"/>
        <w:tab w:val="right" w:pos="8504"/>
      </w:tabs>
      <w:spacing w:line="240" w:lineRule="auto"/>
      <w:rPr>
        <w:color w:val="000000"/>
      </w:rPr>
    </w:pPr>
    <w:r>
      <w:rPr>
        <w:noProof/>
      </w:rPr>
      <w:drawing>
        <wp:anchor distT="0" distB="0" distL="114300" distR="114300" simplePos="0" relativeHeight="251658240" behindDoc="0" locked="0" layoutInCell="1" hidden="0" allowOverlap="1" wp14:anchorId="339A024C" wp14:editId="3656E2C5">
          <wp:simplePos x="0" y="0"/>
          <wp:positionH relativeFrom="column">
            <wp:posOffset>1995054</wp:posOffset>
          </wp:positionH>
          <wp:positionV relativeFrom="paragraph">
            <wp:posOffset>-235468</wp:posOffset>
          </wp:positionV>
          <wp:extent cx="1464945" cy="511175"/>
          <wp:effectExtent l="0" t="0" r="0" b="0"/>
          <wp:wrapSquare wrapText="bothSides" distT="0" distB="0" distL="114300" distR="114300"/>
          <wp:docPr id="39246054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464945" cy="511175"/>
                  </a:xfrm>
                  <a:prstGeom prst="rect">
                    <a:avLst/>
                  </a:prstGeom>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7A06"/>
    <w:rsid w:val="000C7BCC"/>
    <w:rsid w:val="000F0775"/>
    <w:rsid w:val="00197A06"/>
    <w:rsid w:val="00222F5F"/>
    <w:rsid w:val="00752684"/>
    <w:rsid w:val="00836AA3"/>
    <w:rsid w:val="00842D33"/>
    <w:rsid w:val="009F15A2"/>
    <w:rsid w:val="00AC4A77"/>
    <w:rsid w:val="00B20BDD"/>
    <w:rsid w:val="00BB7BD5"/>
    <w:rsid w:val="00F17B30"/>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AF9358"/>
  <w15:docId w15:val="{0278CAE3-E7ED-4063-AF16-3B694A536D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pt-PT" w:eastAsia="pt-PT"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sofia.lareiro@lift.com.pt"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vYgwyeQ52diRq5s/wZpkS2+ZEDw==">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2</Pages>
  <Words>1032</Words>
  <Characters>5888</Characters>
  <Application>Microsoft Office Word</Application>
  <DocSecurity>0</DocSecurity>
  <Lines>92</Lines>
  <Paragraphs>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6899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Sofia Lareiro</dc:creator>
  <cp:lastModifiedBy>Sofia Lareiro</cp:lastModifiedBy>
  <cp:revision>4</cp:revision>
  <dcterms:created xsi:type="dcterms:W3CDTF">2026-07-14T16:58:00Z</dcterms:created>
  <dcterms:modified xsi:type="dcterms:W3CDTF">2026-07-15T10:26:00Z</dcterms:modified>
</cp:coreProperties>
</file>