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90AF5D4" w:rsidR="007B210D" w:rsidRDefault="00B52709">
      <w:pPr>
        <w:spacing w:before="240" w:after="240" w:line="300" w:lineRule="auto"/>
        <w:jc w:val="right"/>
        <w:rPr>
          <w:rFonts w:ascii="Calibri" w:eastAsia="Calibri" w:hAnsi="Calibri" w:cs="Calibri"/>
          <w:sz w:val="20"/>
          <w:szCs w:val="20"/>
        </w:rPr>
      </w:pPr>
      <w:r>
        <w:rPr>
          <w:rFonts w:ascii="Calibri" w:eastAsia="Calibri" w:hAnsi="Calibri" w:cs="Calibri"/>
          <w:sz w:val="20"/>
          <w:szCs w:val="20"/>
        </w:rPr>
        <w:t xml:space="preserve">  Warszawa</w:t>
      </w:r>
      <w:r w:rsidR="009540B4">
        <w:rPr>
          <w:rFonts w:ascii="Calibri" w:eastAsia="Calibri" w:hAnsi="Calibri" w:cs="Calibri"/>
          <w:sz w:val="20"/>
          <w:szCs w:val="20"/>
        </w:rPr>
        <w:t xml:space="preserve">, </w:t>
      </w:r>
      <w:r w:rsidR="0076478C">
        <w:rPr>
          <w:rFonts w:ascii="Calibri" w:eastAsia="Calibri" w:hAnsi="Calibri" w:cs="Calibri"/>
          <w:sz w:val="20"/>
          <w:szCs w:val="20"/>
        </w:rPr>
        <w:t>14</w:t>
      </w:r>
      <w:r w:rsidR="002C08ED">
        <w:rPr>
          <w:rFonts w:ascii="Calibri" w:eastAsia="Calibri" w:hAnsi="Calibri" w:cs="Calibri"/>
          <w:sz w:val="20"/>
          <w:szCs w:val="20"/>
        </w:rPr>
        <w:t>.0</w:t>
      </w:r>
      <w:r w:rsidR="002F118F">
        <w:rPr>
          <w:rFonts w:ascii="Calibri" w:eastAsia="Calibri" w:hAnsi="Calibri" w:cs="Calibri"/>
          <w:sz w:val="20"/>
          <w:szCs w:val="20"/>
        </w:rPr>
        <w:t>7</w:t>
      </w:r>
      <w:r w:rsidR="002C08ED">
        <w:rPr>
          <w:rFonts w:ascii="Calibri" w:eastAsia="Calibri" w:hAnsi="Calibri" w:cs="Calibri"/>
          <w:sz w:val="20"/>
          <w:szCs w:val="20"/>
        </w:rPr>
        <w:t>.</w:t>
      </w:r>
      <w:r>
        <w:rPr>
          <w:rFonts w:ascii="Calibri" w:eastAsia="Calibri" w:hAnsi="Calibri" w:cs="Calibri"/>
          <w:sz w:val="20"/>
          <w:szCs w:val="20"/>
        </w:rPr>
        <w:t>202</w:t>
      </w:r>
      <w:r w:rsidR="002C08ED">
        <w:rPr>
          <w:rFonts w:ascii="Calibri" w:eastAsia="Calibri" w:hAnsi="Calibri" w:cs="Calibri"/>
          <w:sz w:val="20"/>
          <w:szCs w:val="20"/>
        </w:rPr>
        <w:t>6</w:t>
      </w:r>
      <w:r>
        <w:rPr>
          <w:rFonts w:ascii="Calibri" w:eastAsia="Calibri" w:hAnsi="Calibri" w:cs="Calibri"/>
          <w:sz w:val="20"/>
          <w:szCs w:val="20"/>
        </w:rPr>
        <w:t xml:space="preserve"> r.</w:t>
      </w:r>
    </w:p>
    <w:p w14:paraId="00000002" w14:textId="77777777" w:rsidR="007B210D" w:rsidRDefault="00B52709">
      <w:pPr>
        <w:spacing w:before="480" w:after="480" w:line="259" w:lineRule="auto"/>
        <w:jc w:val="both"/>
        <w:rPr>
          <w:rFonts w:ascii="Calibri" w:eastAsia="Calibri" w:hAnsi="Calibri" w:cs="Calibri"/>
          <w:color w:val="161616"/>
          <w:sz w:val="24"/>
          <w:szCs w:val="24"/>
        </w:rPr>
      </w:pPr>
      <w:r>
        <w:rPr>
          <w:rFonts w:ascii="Calibri" w:eastAsia="Calibri" w:hAnsi="Calibri" w:cs="Calibri"/>
          <w:color w:val="161616"/>
          <w:sz w:val="24"/>
          <w:szCs w:val="24"/>
        </w:rPr>
        <w:t>INFORMACJA PRASOWA</w:t>
      </w:r>
    </w:p>
    <w:p w14:paraId="41A93E08" w14:textId="63A1DB36" w:rsidR="005D4D8D" w:rsidRPr="00DF0CDF" w:rsidRDefault="00B52709" w:rsidP="005D4D8D">
      <w:pPr>
        <w:jc w:val="both"/>
        <w:rPr>
          <w:rFonts w:ascii="Calibri" w:eastAsia="Calibri" w:hAnsi="Calibri" w:cs="Calibri"/>
          <w:b/>
          <w:color w:val="222222"/>
          <w:sz w:val="28"/>
          <w:szCs w:val="28"/>
        </w:rPr>
      </w:pPr>
      <w:r>
        <w:rPr>
          <w:rFonts w:ascii="Calibri" w:eastAsia="Calibri" w:hAnsi="Calibri" w:cs="Calibri"/>
          <w:b/>
          <w:color w:val="222222"/>
          <w:sz w:val="28"/>
          <w:szCs w:val="28"/>
          <w:highlight w:val="white"/>
        </w:rPr>
        <w:t xml:space="preserve">BIG InfoMonitor: </w:t>
      </w:r>
      <w:r w:rsidR="00DF0CDF" w:rsidRPr="00DF0CDF">
        <w:rPr>
          <w:rFonts w:ascii="Calibri" w:eastAsia="Calibri" w:hAnsi="Calibri" w:cs="Calibri"/>
          <w:b/>
          <w:color w:val="222222"/>
          <w:sz w:val="28"/>
          <w:szCs w:val="28"/>
        </w:rPr>
        <w:t>C</w:t>
      </w:r>
      <w:r w:rsidR="005D4D8D" w:rsidRPr="00DF0CDF">
        <w:rPr>
          <w:rFonts w:ascii="Calibri" w:eastAsia="Calibri" w:hAnsi="Calibri" w:cs="Calibri"/>
          <w:b/>
          <w:color w:val="222222"/>
          <w:sz w:val="28"/>
          <w:szCs w:val="28"/>
        </w:rPr>
        <w:t>ena zaufania w ubezpieczeniach. Nierzetelni klienci i rosnące ryzyko nadużyć</w:t>
      </w:r>
    </w:p>
    <w:p w14:paraId="71014AA4" w14:textId="77777777" w:rsidR="00F66C6E" w:rsidRDefault="00F66C6E" w:rsidP="002F3818">
      <w:pPr>
        <w:jc w:val="both"/>
        <w:rPr>
          <w:rFonts w:ascii="Calibri" w:eastAsia="Calibri" w:hAnsi="Calibri" w:cs="Calibri"/>
          <w:b/>
          <w:color w:val="222222"/>
          <w:sz w:val="28"/>
          <w:szCs w:val="28"/>
        </w:rPr>
      </w:pPr>
    </w:p>
    <w:p w14:paraId="6B9975D2" w14:textId="6340C107" w:rsidR="00F66C6E" w:rsidRPr="00DF0CDF" w:rsidRDefault="00F66C6E" w:rsidP="002F3818">
      <w:pPr>
        <w:jc w:val="both"/>
        <w:rPr>
          <w:rFonts w:ascii="Calibri" w:eastAsia="Calibri" w:hAnsi="Calibri" w:cs="Calibri"/>
          <w:b/>
          <w:color w:val="222222"/>
          <w:sz w:val="24"/>
          <w:szCs w:val="24"/>
        </w:rPr>
      </w:pPr>
      <w:r w:rsidRPr="00DF0CDF">
        <w:rPr>
          <w:rFonts w:ascii="Calibri" w:eastAsia="Calibri" w:hAnsi="Calibri" w:cs="Calibri"/>
          <w:b/>
          <w:color w:val="222222"/>
          <w:sz w:val="24"/>
          <w:szCs w:val="24"/>
        </w:rPr>
        <w:t xml:space="preserve">Rynek ubezpieczeń rośnie, a wraz z nim problem zadłużenia klientów. Choć Polacy coraz chętniej kupują polisy chroniące życie, zdrowie, majątek </w:t>
      </w:r>
      <w:r w:rsidR="00314E8D" w:rsidRPr="00DF0CDF">
        <w:rPr>
          <w:rFonts w:ascii="Calibri" w:eastAsia="Calibri" w:hAnsi="Calibri" w:cs="Calibri"/>
          <w:b/>
          <w:color w:val="222222"/>
          <w:sz w:val="24"/>
          <w:szCs w:val="24"/>
        </w:rPr>
        <w:t>czy</w:t>
      </w:r>
      <w:r w:rsidRPr="00DF0CDF">
        <w:rPr>
          <w:rFonts w:ascii="Calibri" w:eastAsia="Calibri" w:hAnsi="Calibri" w:cs="Calibri"/>
          <w:b/>
          <w:color w:val="222222"/>
          <w:sz w:val="24"/>
          <w:szCs w:val="24"/>
        </w:rPr>
        <w:t xml:space="preserve"> podróże, najnowsze dane BIG InfoMonitor pokazują, że coraz więcej z nich nie radzi sobie z </w:t>
      </w:r>
      <w:r w:rsidR="004305B0" w:rsidRPr="00DF0CDF">
        <w:rPr>
          <w:rFonts w:ascii="Calibri" w:eastAsia="Calibri" w:hAnsi="Calibri" w:cs="Calibri"/>
          <w:b/>
          <w:color w:val="222222"/>
          <w:sz w:val="24"/>
          <w:szCs w:val="24"/>
        </w:rPr>
        <w:t>terminowym</w:t>
      </w:r>
      <w:r w:rsidRPr="00DF0CDF">
        <w:rPr>
          <w:rFonts w:ascii="Calibri" w:eastAsia="Calibri" w:hAnsi="Calibri" w:cs="Calibri"/>
          <w:b/>
          <w:color w:val="222222"/>
          <w:sz w:val="24"/>
          <w:szCs w:val="24"/>
        </w:rPr>
        <w:t xml:space="preserve"> opłacaniem składek. Na koniec </w:t>
      </w:r>
      <w:r w:rsidR="001658C3">
        <w:rPr>
          <w:rFonts w:ascii="Calibri" w:eastAsia="Calibri" w:hAnsi="Calibri" w:cs="Calibri"/>
          <w:b/>
          <w:color w:val="222222"/>
          <w:sz w:val="24"/>
          <w:szCs w:val="24"/>
        </w:rPr>
        <w:t>czerwca</w:t>
      </w:r>
      <w:r w:rsidRPr="00DF0CDF">
        <w:rPr>
          <w:rFonts w:ascii="Calibri" w:eastAsia="Calibri" w:hAnsi="Calibri" w:cs="Calibri"/>
          <w:b/>
          <w:color w:val="222222"/>
          <w:sz w:val="24"/>
          <w:szCs w:val="24"/>
        </w:rPr>
        <w:t xml:space="preserve"> 2026 r. blisko 145</w:t>
      </w:r>
      <w:r w:rsidR="001658C3">
        <w:rPr>
          <w:rFonts w:ascii="Calibri" w:eastAsia="Calibri" w:hAnsi="Calibri" w:cs="Calibri"/>
          <w:b/>
          <w:color w:val="222222"/>
          <w:sz w:val="24"/>
          <w:szCs w:val="24"/>
        </w:rPr>
        <w:t>,5</w:t>
      </w:r>
      <w:r w:rsidRPr="00DF0CDF">
        <w:rPr>
          <w:rFonts w:ascii="Calibri" w:eastAsia="Calibri" w:hAnsi="Calibri" w:cs="Calibri"/>
          <w:b/>
          <w:color w:val="222222"/>
          <w:sz w:val="24"/>
          <w:szCs w:val="24"/>
        </w:rPr>
        <w:t xml:space="preserve"> tys.</w:t>
      </w:r>
      <w:r w:rsidR="00355728" w:rsidRPr="00DF0CDF">
        <w:rPr>
          <w:rFonts w:ascii="Calibri" w:eastAsia="Calibri" w:hAnsi="Calibri" w:cs="Calibri"/>
          <w:b/>
          <w:color w:val="222222"/>
          <w:sz w:val="24"/>
          <w:szCs w:val="24"/>
        </w:rPr>
        <w:t xml:space="preserve"> </w:t>
      </w:r>
      <w:r w:rsidR="00BF2361" w:rsidRPr="00DF0CDF">
        <w:rPr>
          <w:rFonts w:ascii="Calibri" w:eastAsia="Calibri" w:hAnsi="Calibri" w:cs="Calibri"/>
          <w:b/>
          <w:color w:val="222222"/>
          <w:sz w:val="24"/>
          <w:szCs w:val="24"/>
        </w:rPr>
        <w:t>osób</w:t>
      </w:r>
      <w:r w:rsidR="00355728" w:rsidRPr="00DF0CDF">
        <w:rPr>
          <w:rFonts w:ascii="Calibri" w:eastAsia="Calibri" w:hAnsi="Calibri" w:cs="Calibri"/>
          <w:b/>
          <w:color w:val="222222"/>
          <w:sz w:val="24"/>
          <w:szCs w:val="24"/>
        </w:rPr>
        <w:t xml:space="preserve"> w tym przedsiębiorców</w:t>
      </w:r>
      <w:r w:rsidR="00314E8D" w:rsidRPr="00DF0CDF">
        <w:rPr>
          <w:rFonts w:ascii="Calibri" w:eastAsia="Calibri" w:hAnsi="Calibri" w:cs="Calibri"/>
          <w:b/>
          <w:color w:val="222222"/>
          <w:sz w:val="24"/>
          <w:szCs w:val="24"/>
        </w:rPr>
        <w:t>,</w:t>
      </w:r>
      <w:r w:rsidRPr="00DF0CDF">
        <w:rPr>
          <w:rFonts w:ascii="Calibri" w:eastAsia="Calibri" w:hAnsi="Calibri" w:cs="Calibri"/>
          <w:b/>
          <w:color w:val="222222"/>
          <w:sz w:val="24"/>
          <w:szCs w:val="24"/>
        </w:rPr>
        <w:t xml:space="preserve"> miało przeterminowane zobowiązania wobec </w:t>
      </w:r>
      <w:r w:rsidR="00355728" w:rsidRPr="00DF0CDF">
        <w:rPr>
          <w:rFonts w:ascii="Calibri" w:eastAsia="Calibri" w:hAnsi="Calibri" w:cs="Calibri"/>
          <w:b/>
          <w:color w:val="222222"/>
          <w:sz w:val="24"/>
          <w:szCs w:val="24"/>
        </w:rPr>
        <w:t>towarzystw ubezpieczeniowych</w:t>
      </w:r>
      <w:r w:rsidRPr="00DF0CDF">
        <w:rPr>
          <w:rFonts w:ascii="Calibri" w:eastAsia="Calibri" w:hAnsi="Calibri" w:cs="Calibri"/>
          <w:b/>
          <w:color w:val="222222"/>
          <w:sz w:val="24"/>
          <w:szCs w:val="24"/>
        </w:rPr>
        <w:t xml:space="preserve"> na ponad 3</w:t>
      </w:r>
      <w:r w:rsidR="001658C3">
        <w:rPr>
          <w:rFonts w:ascii="Calibri" w:eastAsia="Calibri" w:hAnsi="Calibri" w:cs="Calibri"/>
          <w:b/>
          <w:color w:val="222222"/>
          <w:sz w:val="24"/>
          <w:szCs w:val="24"/>
        </w:rPr>
        <w:t>37</w:t>
      </w:r>
      <w:r w:rsidRPr="00DF0CDF">
        <w:rPr>
          <w:rFonts w:ascii="Calibri" w:eastAsia="Calibri" w:hAnsi="Calibri" w:cs="Calibri"/>
          <w:b/>
          <w:color w:val="222222"/>
          <w:sz w:val="24"/>
          <w:szCs w:val="24"/>
        </w:rPr>
        <w:t xml:space="preserve"> mln zł – </w:t>
      </w:r>
      <w:r w:rsidR="006E001D" w:rsidRPr="00DF0CDF">
        <w:rPr>
          <w:rFonts w:ascii="Calibri" w:eastAsia="Calibri" w:hAnsi="Calibri" w:cs="Calibri"/>
          <w:b/>
          <w:color w:val="222222"/>
          <w:sz w:val="24"/>
          <w:szCs w:val="24"/>
        </w:rPr>
        <w:t xml:space="preserve">kwota ta w ciągu dwóch lat urosła aż o </w:t>
      </w:r>
      <w:r w:rsidR="001658C3">
        <w:rPr>
          <w:rFonts w:ascii="Calibri" w:eastAsia="Calibri" w:hAnsi="Calibri" w:cs="Calibri"/>
          <w:b/>
          <w:color w:val="222222"/>
          <w:sz w:val="24"/>
          <w:szCs w:val="24"/>
        </w:rPr>
        <w:t>23</w:t>
      </w:r>
      <w:r w:rsidR="006E001D" w:rsidRPr="00DF0CDF">
        <w:rPr>
          <w:rFonts w:ascii="Calibri" w:eastAsia="Calibri" w:hAnsi="Calibri" w:cs="Calibri"/>
          <w:b/>
          <w:color w:val="222222"/>
          <w:sz w:val="24"/>
          <w:szCs w:val="24"/>
        </w:rPr>
        <w:t xml:space="preserve"> proc.</w:t>
      </w:r>
      <w:r w:rsidR="00A177A2" w:rsidRPr="00DF0CDF">
        <w:rPr>
          <w:rFonts w:ascii="Calibri" w:eastAsia="Calibri" w:hAnsi="Calibri" w:cs="Calibri"/>
          <w:b/>
          <w:color w:val="222222"/>
          <w:sz w:val="24"/>
          <w:szCs w:val="24"/>
        </w:rPr>
        <w:t xml:space="preserve"> Nie bez znaczenia jest też </w:t>
      </w:r>
      <w:r w:rsidR="0099648B" w:rsidRPr="00DF0CDF">
        <w:rPr>
          <w:rFonts w:ascii="Calibri" w:eastAsia="Calibri" w:hAnsi="Calibri" w:cs="Calibri"/>
          <w:b/>
          <w:color w:val="222222"/>
          <w:sz w:val="24"/>
          <w:szCs w:val="24"/>
        </w:rPr>
        <w:t xml:space="preserve">rosnąca </w:t>
      </w:r>
      <w:r w:rsidR="00A177A2" w:rsidRPr="00DF0CDF">
        <w:rPr>
          <w:rFonts w:ascii="Calibri" w:eastAsia="Calibri" w:hAnsi="Calibri" w:cs="Calibri"/>
          <w:b/>
          <w:color w:val="222222"/>
          <w:sz w:val="24"/>
          <w:szCs w:val="24"/>
        </w:rPr>
        <w:t>liczba fraudów ubezpieczeniowych.</w:t>
      </w:r>
    </w:p>
    <w:p w14:paraId="4F9E8CEC" w14:textId="77777777" w:rsidR="00CF18F5" w:rsidRDefault="00CF18F5" w:rsidP="002F3818">
      <w:pPr>
        <w:jc w:val="both"/>
        <w:rPr>
          <w:rFonts w:ascii="Calibri" w:eastAsia="Calibri" w:hAnsi="Calibri" w:cs="Calibri"/>
          <w:bCs/>
          <w:color w:val="222222"/>
        </w:rPr>
      </w:pPr>
    </w:p>
    <w:p w14:paraId="0780C262" w14:textId="1B2E1C21" w:rsidR="00310AC9" w:rsidRDefault="00310AC9" w:rsidP="009540B4">
      <w:pPr>
        <w:jc w:val="both"/>
        <w:rPr>
          <w:rFonts w:ascii="Calibri" w:eastAsia="Calibri" w:hAnsi="Calibri" w:cs="Calibri"/>
          <w:color w:val="222222"/>
          <w:lang w:val="pl-PL"/>
        </w:rPr>
      </w:pPr>
      <w:r w:rsidRPr="00033BBF">
        <w:rPr>
          <w:rFonts w:ascii="Calibri" w:eastAsia="Calibri" w:hAnsi="Calibri" w:cs="Calibri"/>
          <w:color w:val="222222"/>
          <w:lang w:val="pl-PL"/>
        </w:rPr>
        <w:t xml:space="preserve">Sektor ubezpieczeniowy w Polsce notuje wzrosty niemal w każdym obszarze. </w:t>
      </w:r>
      <w:r w:rsidR="00CD4B9C" w:rsidRPr="00033BBF">
        <w:rPr>
          <w:rFonts w:ascii="Calibri" w:eastAsia="Calibri" w:hAnsi="Calibri" w:cs="Calibri"/>
          <w:color w:val="222222"/>
          <w:lang w:val="pl-PL"/>
        </w:rPr>
        <w:t>Polacy coraz</w:t>
      </w:r>
      <w:r w:rsidR="00CD4B9C" w:rsidRPr="001C021D">
        <w:rPr>
          <w:rFonts w:ascii="Calibri" w:eastAsia="Calibri" w:hAnsi="Calibri" w:cs="Calibri"/>
          <w:color w:val="222222"/>
          <w:lang w:val="pl-PL"/>
        </w:rPr>
        <w:t xml:space="preserve"> częściej decydują się na zakup polis chroniących życie, zdrowie, majątek oraz podróże. Z danych Głównego Urzędu Statystycznego wynika, że w 2025 roku wartość składek ubezpieczeniowych w Polsce wzrosła do 90,6 mld zł, co oznacza </w:t>
      </w:r>
      <w:r w:rsidR="001F7FEB">
        <w:rPr>
          <w:rFonts w:ascii="Calibri" w:eastAsia="Calibri" w:hAnsi="Calibri" w:cs="Calibri"/>
          <w:color w:val="222222"/>
          <w:lang w:val="pl-PL"/>
        </w:rPr>
        <w:t>skok</w:t>
      </w:r>
      <w:r w:rsidR="00CD4B9C" w:rsidRPr="001C021D">
        <w:rPr>
          <w:rFonts w:ascii="Calibri" w:eastAsia="Calibri" w:hAnsi="Calibri" w:cs="Calibri"/>
          <w:color w:val="222222"/>
          <w:lang w:val="pl-PL"/>
        </w:rPr>
        <w:t xml:space="preserve"> o 5,8 proc. rok do roku. Największą dynamikę odnotowały ubezpieczenia majątkowe i osobowe, co potwierdza rosnącą skłonność gospodarstw domowych i firm do zabezpieczania się przed ryzykiem.</w:t>
      </w:r>
      <w:r w:rsidR="001C021D">
        <w:rPr>
          <w:rFonts w:ascii="Calibri" w:eastAsia="Calibri" w:hAnsi="Calibri" w:cs="Calibri"/>
          <w:color w:val="222222"/>
          <w:lang w:val="pl-PL"/>
        </w:rPr>
        <w:t xml:space="preserve"> Ale co z ryzkiem po </w:t>
      </w:r>
      <w:r>
        <w:rPr>
          <w:rFonts w:ascii="Calibri" w:eastAsia="Calibri" w:hAnsi="Calibri" w:cs="Calibri"/>
          <w:color w:val="222222"/>
          <w:lang w:val="pl-PL"/>
        </w:rPr>
        <w:t>stronie ubezpieczyciela?</w:t>
      </w:r>
      <w:r w:rsidR="00033BBF">
        <w:rPr>
          <w:rFonts w:ascii="Calibri" w:eastAsia="Calibri" w:hAnsi="Calibri" w:cs="Calibri"/>
          <w:color w:val="222222"/>
          <w:lang w:val="pl-PL"/>
        </w:rPr>
        <w:t xml:space="preserve"> </w:t>
      </w:r>
      <w:r>
        <w:rPr>
          <w:rFonts w:ascii="Calibri" w:eastAsia="Calibri" w:hAnsi="Calibri" w:cs="Calibri"/>
          <w:color w:val="222222"/>
          <w:lang w:val="pl-PL"/>
        </w:rPr>
        <w:t>Z</w:t>
      </w:r>
      <w:r w:rsidRPr="00310AC9">
        <w:rPr>
          <w:rFonts w:ascii="Calibri" w:eastAsia="Calibri" w:hAnsi="Calibri" w:cs="Calibri"/>
          <w:color w:val="222222"/>
          <w:lang w:val="pl-PL"/>
        </w:rPr>
        <w:t>a pozytywnymi danymi rynkowymi kryje się problem rosnącej skali zaległe</w:t>
      </w:r>
      <w:r w:rsidR="00033BBF">
        <w:rPr>
          <w:rFonts w:ascii="Calibri" w:eastAsia="Calibri" w:hAnsi="Calibri" w:cs="Calibri"/>
          <w:color w:val="222222"/>
          <w:lang w:val="pl-PL"/>
        </w:rPr>
        <w:t>go</w:t>
      </w:r>
      <w:r w:rsidRPr="00310AC9">
        <w:rPr>
          <w:rFonts w:ascii="Calibri" w:eastAsia="Calibri" w:hAnsi="Calibri" w:cs="Calibri"/>
          <w:color w:val="222222"/>
          <w:lang w:val="pl-PL"/>
        </w:rPr>
        <w:t xml:space="preserve"> zadłużeni</w:t>
      </w:r>
      <w:r w:rsidR="00033BBF">
        <w:rPr>
          <w:rFonts w:ascii="Calibri" w:eastAsia="Calibri" w:hAnsi="Calibri" w:cs="Calibri"/>
          <w:color w:val="222222"/>
          <w:lang w:val="pl-PL"/>
        </w:rPr>
        <w:t>a</w:t>
      </w:r>
      <w:r w:rsidRPr="00310AC9">
        <w:rPr>
          <w:rFonts w:ascii="Calibri" w:eastAsia="Calibri" w:hAnsi="Calibri" w:cs="Calibri"/>
          <w:color w:val="222222"/>
          <w:lang w:val="pl-PL"/>
        </w:rPr>
        <w:t xml:space="preserve"> wobec towarzystw ubezpieczeniowych</w:t>
      </w:r>
      <w:r w:rsidR="001A5E2B">
        <w:rPr>
          <w:rFonts w:ascii="Calibri" w:eastAsia="Calibri" w:hAnsi="Calibri" w:cs="Calibri"/>
          <w:color w:val="222222"/>
          <w:lang w:val="pl-PL"/>
        </w:rPr>
        <w:t>, a także s</w:t>
      </w:r>
      <w:r w:rsidR="001A5E2B" w:rsidRPr="001A5E2B">
        <w:rPr>
          <w:rFonts w:ascii="Calibri" w:eastAsia="Calibri" w:hAnsi="Calibri" w:cs="Calibri"/>
          <w:color w:val="222222"/>
          <w:lang w:val="pl-PL"/>
        </w:rPr>
        <w:t>kala fraudów ubezpieczeniowych</w:t>
      </w:r>
      <w:r w:rsidR="001A5E2B">
        <w:rPr>
          <w:rFonts w:ascii="Calibri" w:eastAsia="Calibri" w:hAnsi="Calibri" w:cs="Calibri"/>
          <w:color w:val="222222"/>
          <w:lang w:val="pl-PL"/>
        </w:rPr>
        <w:t>.</w:t>
      </w:r>
      <w:r w:rsidR="001A5E2B" w:rsidRPr="001A5E2B">
        <w:t xml:space="preserve"> </w:t>
      </w:r>
      <w:r w:rsidR="001A5E2B" w:rsidRPr="001A5E2B">
        <w:rPr>
          <w:rFonts w:ascii="Calibri" w:eastAsia="Calibri" w:hAnsi="Calibri" w:cs="Calibri"/>
          <w:color w:val="222222"/>
          <w:lang w:val="pl-PL"/>
        </w:rPr>
        <w:t xml:space="preserve">Raport PIU pokazuje, że w 2024 r. doszło do 32 tys. przestępstw w tej kategorii. Ich łączna wartość przekroczyła 675 mln zł, co oznacza wzrost o ponad 220 mln zł w stosunku do roku poprzedniego. To powód, dla którego coraz większą rolę w weryfikacji kontrahentów i klientów przez ubezpieczycieli odgrywają </w:t>
      </w:r>
      <w:r w:rsidR="002C49A8">
        <w:rPr>
          <w:rFonts w:ascii="Calibri" w:eastAsia="Calibri" w:hAnsi="Calibri" w:cs="Calibri"/>
          <w:color w:val="222222"/>
          <w:lang w:val="pl-PL"/>
        </w:rPr>
        <w:t>wiarygodne</w:t>
      </w:r>
      <w:r w:rsidR="0099648B">
        <w:rPr>
          <w:rFonts w:ascii="Calibri" w:eastAsia="Calibri" w:hAnsi="Calibri" w:cs="Calibri"/>
          <w:color w:val="222222"/>
          <w:lang w:val="pl-PL"/>
        </w:rPr>
        <w:t xml:space="preserve"> źródła</w:t>
      </w:r>
      <w:r w:rsidR="002C49A8">
        <w:rPr>
          <w:rFonts w:ascii="Calibri" w:eastAsia="Calibri" w:hAnsi="Calibri" w:cs="Calibri"/>
          <w:color w:val="222222"/>
          <w:lang w:val="pl-PL"/>
        </w:rPr>
        <w:t xml:space="preserve"> </w:t>
      </w:r>
      <w:r w:rsidR="001A5E2B" w:rsidRPr="001A5E2B">
        <w:rPr>
          <w:rFonts w:ascii="Calibri" w:eastAsia="Calibri" w:hAnsi="Calibri" w:cs="Calibri"/>
          <w:color w:val="222222"/>
          <w:lang w:val="pl-PL"/>
        </w:rPr>
        <w:t>dan</w:t>
      </w:r>
      <w:r w:rsidR="0099648B">
        <w:rPr>
          <w:rFonts w:ascii="Calibri" w:eastAsia="Calibri" w:hAnsi="Calibri" w:cs="Calibri"/>
          <w:color w:val="222222"/>
          <w:lang w:val="pl-PL"/>
        </w:rPr>
        <w:t>ych</w:t>
      </w:r>
      <w:r w:rsidR="006022E9">
        <w:rPr>
          <w:rFonts w:ascii="Calibri" w:eastAsia="Calibri" w:hAnsi="Calibri" w:cs="Calibri"/>
          <w:color w:val="222222"/>
          <w:lang w:val="pl-PL"/>
        </w:rPr>
        <w:t>.</w:t>
      </w:r>
    </w:p>
    <w:p w14:paraId="7689748E" w14:textId="77777777" w:rsidR="00033BBF" w:rsidRPr="00033BBF" w:rsidRDefault="00033BBF" w:rsidP="009540B4">
      <w:pPr>
        <w:jc w:val="both"/>
        <w:rPr>
          <w:rFonts w:ascii="Calibri" w:eastAsia="Calibri" w:hAnsi="Calibri" w:cs="Calibri"/>
          <w:b/>
          <w:bCs/>
          <w:color w:val="222222"/>
          <w:lang w:val="pl-PL"/>
        </w:rPr>
      </w:pPr>
    </w:p>
    <w:p w14:paraId="78251E97" w14:textId="70A89773" w:rsidR="00033BBF" w:rsidRPr="00033BBF" w:rsidRDefault="004F3F28" w:rsidP="00033BBF">
      <w:pPr>
        <w:jc w:val="both"/>
        <w:rPr>
          <w:rFonts w:ascii="Calibri" w:eastAsia="Calibri" w:hAnsi="Calibri" w:cs="Calibri"/>
          <w:color w:val="222222"/>
          <w:lang w:val="pl-PL"/>
        </w:rPr>
      </w:pPr>
      <w:r>
        <w:rPr>
          <w:rFonts w:ascii="Calibri" w:eastAsia="Calibri" w:hAnsi="Calibri" w:cs="Calibri"/>
          <w:b/>
          <w:bCs/>
          <w:color w:val="222222"/>
          <w:lang w:val="pl-PL"/>
        </w:rPr>
        <w:t xml:space="preserve">Więcej </w:t>
      </w:r>
      <w:r w:rsidR="001604B1">
        <w:rPr>
          <w:rFonts w:ascii="Calibri" w:eastAsia="Calibri" w:hAnsi="Calibri" w:cs="Calibri"/>
          <w:b/>
          <w:bCs/>
          <w:color w:val="222222"/>
          <w:lang w:val="pl-PL"/>
        </w:rPr>
        <w:t>zaległych polis</w:t>
      </w:r>
      <w:r>
        <w:rPr>
          <w:rFonts w:ascii="Calibri" w:eastAsia="Calibri" w:hAnsi="Calibri" w:cs="Calibri"/>
          <w:b/>
          <w:bCs/>
          <w:color w:val="222222"/>
          <w:lang w:val="pl-PL"/>
        </w:rPr>
        <w:t xml:space="preserve"> na liście dłużników</w:t>
      </w:r>
    </w:p>
    <w:p w14:paraId="431370BB" w14:textId="77777777" w:rsidR="00033BBF" w:rsidRPr="00033BBF" w:rsidRDefault="00033BBF" w:rsidP="00033BBF">
      <w:pPr>
        <w:jc w:val="both"/>
        <w:rPr>
          <w:rFonts w:ascii="Calibri" w:eastAsia="Calibri" w:hAnsi="Calibri" w:cs="Calibri"/>
          <w:color w:val="222222"/>
          <w:lang w:val="pl-PL"/>
        </w:rPr>
      </w:pPr>
    </w:p>
    <w:p w14:paraId="2CDDDCBB" w14:textId="22FD5844" w:rsidR="008737DF" w:rsidRPr="00F620AD" w:rsidRDefault="00314E8D" w:rsidP="00F620AD">
      <w:pPr>
        <w:jc w:val="both"/>
        <w:rPr>
          <w:rFonts w:ascii="Calibri" w:eastAsia="Calibri" w:hAnsi="Calibri" w:cs="Calibri"/>
          <w:color w:val="222222"/>
          <w:lang w:val="pl-PL"/>
        </w:rPr>
      </w:pPr>
      <w:r w:rsidRPr="00314E8D">
        <w:rPr>
          <w:rFonts w:ascii="Calibri" w:eastAsia="Calibri" w:hAnsi="Calibri" w:cs="Calibri"/>
          <w:color w:val="222222"/>
          <w:lang w:val="pl-PL"/>
        </w:rPr>
        <w:t xml:space="preserve">Polacy coraz chętniej się ubezpieczają, ale coraz częściej nie są w stanie </w:t>
      </w:r>
      <w:r w:rsidR="00AB267E" w:rsidRPr="00314E8D">
        <w:rPr>
          <w:rFonts w:ascii="Calibri" w:eastAsia="Calibri" w:hAnsi="Calibri" w:cs="Calibri"/>
          <w:color w:val="222222"/>
          <w:lang w:val="pl-PL"/>
        </w:rPr>
        <w:t>za polisy</w:t>
      </w:r>
      <w:r w:rsidRPr="00314E8D">
        <w:rPr>
          <w:rFonts w:ascii="Calibri" w:eastAsia="Calibri" w:hAnsi="Calibri" w:cs="Calibri"/>
          <w:color w:val="222222"/>
          <w:lang w:val="pl-PL"/>
        </w:rPr>
        <w:t xml:space="preserve"> zapłacić na czas.</w:t>
      </w:r>
      <w:r w:rsidR="00F620AD">
        <w:rPr>
          <w:rFonts w:ascii="Calibri" w:eastAsia="Calibri" w:hAnsi="Calibri" w:cs="Calibri"/>
          <w:color w:val="222222"/>
          <w:lang w:val="pl-PL"/>
        </w:rPr>
        <w:t xml:space="preserve"> </w:t>
      </w:r>
      <w:r w:rsidR="00293134" w:rsidRPr="00033BBF">
        <w:rPr>
          <w:rFonts w:ascii="Calibri" w:eastAsia="Calibri" w:hAnsi="Calibri" w:cs="Calibri"/>
          <w:lang w:val="pl-PL"/>
        </w:rPr>
        <w:t xml:space="preserve">Jak pokazują dane Rejestru Dłużników BIG InfoMonitor, na koniec </w:t>
      </w:r>
      <w:r w:rsidR="001658C3">
        <w:rPr>
          <w:rFonts w:ascii="Calibri" w:eastAsia="Calibri" w:hAnsi="Calibri" w:cs="Calibri"/>
          <w:lang w:val="pl-PL"/>
        </w:rPr>
        <w:t>czerwca</w:t>
      </w:r>
      <w:r w:rsidR="00293134" w:rsidRPr="00033BBF">
        <w:rPr>
          <w:rFonts w:ascii="Calibri" w:eastAsia="Calibri" w:hAnsi="Calibri" w:cs="Calibri"/>
          <w:lang w:val="pl-PL"/>
        </w:rPr>
        <w:t xml:space="preserve"> 2026 roku przeterminowane zobowiązania wobec firm ubezpieczeniowych posiadało </w:t>
      </w:r>
      <w:r w:rsidR="001658C3">
        <w:rPr>
          <w:rFonts w:ascii="Calibri" w:eastAsia="Calibri" w:hAnsi="Calibri" w:cs="Calibri"/>
          <w:lang w:val="pl-PL"/>
        </w:rPr>
        <w:t>około</w:t>
      </w:r>
      <w:r w:rsidR="00293134" w:rsidRPr="00033BBF">
        <w:rPr>
          <w:rFonts w:ascii="Calibri" w:eastAsia="Calibri" w:hAnsi="Calibri" w:cs="Calibri"/>
          <w:lang w:val="pl-PL"/>
        </w:rPr>
        <w:t xml:space="preserve"> 145</w:t>
      </w:r>
      <w:r w:rsidR="001658C3">
        <w:rPr>
          <w:rFonts w:ascii="Calibri" w:eastAsia="Calibri" w:hAnsi="Calibri" w:cs="Calibri"/>
          <w:lang w:val="pl-PL"/>
        </w:rPr>
        <w:t>,5</w:t>
      </w:r>
      <w:r w:rsidR="00293134" w:rsidRPr="00033BBF">
        <w:rPr>
          <w:rFonts w:ascii="Calibri" w:eastAsia="Calibri" w:hAnsi="Calibri" w:cs="Calibri"/>
          <w:lang w:val="pl-PL"/>
        </w:rPr>
        <w:t xml:space="preserve"> tys. klientów – zarówno konsumentów, jak i firm. Łączna wartość ich zaległości przekroczyła 3</w:t>
      </w:r>
      <w:r w:rsidR="001658C3">
        <w:rPr>
          <w:rFonts w:ascii="Calibri" w:eastAsia="Calibri" w:hAnsi="Calibri" w:cs="Calibri"/>
          <w:lang w:val="pl-PL"/>
        </w:rPr>
        <w:t>37</w:t>
      </w:r>
      <w:r w:rsidR="00293134" w:rsidRPr="00033BBF">
        <w:rPr>
          <w:rFonts w:ascii="Calibri" w:eastAsia="Calibri" w:hAnsi="Calibri" w:cs="Calibri"/>
          <w:lang w:val="pl-PL"/>
        </w:rPr>
        <w:t xml:space="preserve"> mln zł, co stanowi najwyższy wynik od momentu rozpoczęcia monitorowania tego segmentu.</w:t>
      </w:r>
      <w:r w:rsidR="00655F80">
        <w:rPr>
          <w:rFonts w:ascii="Calibri" w:eastAsia="Calibri" w:hAnsi="Calibri" w:cs="Calibri"/>
          <w:lang w:val="pl-PL"/>
        </w:rPr>
        <w:t xml:space="preserve"> W perspektywie ostatnich dwóch lat </w:t>
      </w:r>
      <w:r w:rsidR="00F35B33">
        <w:rPr>
          <w:rFonts w:ascii="Calibri" w:eastAsia="Calibri" w:hAnsi="Calibri" w:cs="Calibri"/>
          <w:lang w:val="pl-PL"/>
        </w:rPr>
        <w:t xml:space="preserve">zaległości wzrosły o ponad </w:t>
      </w:r>
      <w:r w:rsidR="001658C3">
        <w:rPr>
          <w:rFonts w:ascii="Calibri" w:eastAsia="Calibri" w:hAnsi="Calibri" w:cs="Calibri"/>
          <w:lang w:val="pl-PL"/>
        </w:rPr>
        <w:t>23</w:t>
      </w:r>
      <w:r w:rsidR="00F35B33">
        <w:rPr>
          <w:rFonts w:ascii="Calibri" w:eastAsia="Calibri" w:hAnsi="Calibri" w:cs="Calibri"/>
          <w:lang w:val="pl-PL"/>
        </w:rPr>
        <w:t xml:space="preserve"> proc., a do bazy dłużników wierzyciele z branży ubezpieczeniowej dopisali </w:t>
      </w:r>
      <w:r w:rsidR="001658C3">
        <w:rPr>
          <w:rFonts w:ascii="Calibri" w:eastAsia="Calibri" w:hAnsi="Calibri" w:cs="Calibri"/>
          <w:lang w:val="pl-PL"/>
        </w:rPr>
        <w:t>13,6 tys.</w:t>
      </w:r>
      <w:r w:rsidR="00F35B33">
        <w:rPr>
          <w:rFonts w:ascii="Calibri" w:eastAsia="Calibri" w:hAnsi="Calibri" w:cs="Calibri"/>
          <w:lang w:val="pl-PL"/>
        </w:rPr>
        <w:t xml:space="preserve"> niesolidnych płatników (wzrost o ponad </w:t>
      </w:r>
      <w:r w:rsidR="001658C3">
        <w:rPr>
          <w:rFonts w:ascii="Calibri" w:eastAsia="Calibri" w:hAnsi="Calibri" w:cs="Calibri"/>
          <w:lang w:val="pl-PL"/>
        </w:rPr>
        <w:t>10</w:t>
      </w:r>
      <w:r w:rsidR="00F35B33">
        <w:rPr>
          <w:rFonts w:ascii="Calibri" w:eastAsia="Calibri" w:hAnsi="Calibri" w:cs="Calibri"/>
          <w:lang w:val="pl-PL"/>
        </w:rPr>
        <w:t xml:space="preserve"> proc.).</w:t>
      </w:r>
      <w:r w:rsidR="008737DF">
        <w:rPr>
          <w:rFonts w:ascii="Calibri" w:eastAsia="Calibri" w:hAnsi="Calibri" w:cs="Calibri"/>
          <w:lang w:val="pl-PL"/>
        </w:rPr>
        <w:t xml:space="preserve"> Skalę problemów z terminowym </w:t>
      </w:r>
      <w:r w:rsidR="008737DF">
        <w:rPr>
          <w:rFonts w:ascii="Calibri" w:eastAsia="Calibri" w:hAnsi="Calibri" w:cs="Calibri"/>
          <w:lang w:val="pl-PL"/>
        </w:rPr>
        <w:lastRenderedPageBreak/>
        <w:t xml:space="preserve">opłacaniem polis pokazują przeciętne zaległości przypadające na osobę – w 2024 roku było to </w:t>
      </w:r>
      <w:r w:rsidR="001658C3">
        <w:rPr>
          <w:rFonts w:ascii="Calibri" w:eastAsia="Calibri" w:hAnsi="Calibri" w:cs="Calibri"/>
          <w:lang w:val="pl-PL"/>
        </w:rPr>
        <w:t>2078</w:t>
      </w:r>
      <w:r w:rsidR="008737DF">
        <w:rPr>
          <w:rFonts w:ascii="Calibri" w:eastAsia="Calibri" w:hAnsi="Calibri" w:cs="Calibri"/>
          <w:lang w:val="pl-PL"/>
        </w:rPr>
        <w:t xml:space="preserve"> zł, w ubiegłym </w:t>
      </w:r>
      <w:r w:rsidR="001658C3" w:rsidRPr="001658C3">
        <w:rPr>
          <w:rFonts w:ascii="Calibri" w:eastAsia="Calibri" w:hAnsi="Calibri" w:cs="Calibri"/>
          <w:lang w:val="pl-PL"/>
        </w:rPr>
        <w:t>2184</w:t>
      </w:r>
      <w:r w:rsidR="008737DF" w:rsidRPr="008737DF">
        <w:rPr>
          <w:rFonts w:ascii="Calibri" w:eastAsia="Calibri" w:hAnsi="Calibri" w:cs="Calibri"/>
        </w:rPr>
        <w:t xml:space="preserve"> zł, a na koniec </w:t>
      </w:r>
      <w:r w:rsidR="001658C3">
        <w:rPr>
          <w:rFonts w:ascii="Calibri" w:eastAsia="Calibri" w:hAnsi="Calibri" w:cs="Calibri"/>
        </w:rPr>
        <w:t>czerwca</w:t>
      </w:r>
      <w:r w:rsidR="008737DF" w:rsidRPr="008737DF">
        <w:rPr>
          <w:rFonts w:ascii="Calibri" w:eastAsia="Calibri" w:hAnsi="Calibri" w:cs="Calibri"/>
        </w:rPr>
        <w:t xml:space="preserve"> 2026 już </w:t>
      </w:r>
      <w:r w:rsidR="001658C3" w:rsidRPr="001658C3">
        <w:rPr>
          <w:rFonts w:ascii="Calibri" w:eastAsia="Calibri" w:hAnsi="Calibri" w:cs="Calibri"/>
        </w:rPr>
        <w:t>2 317</w:t>
      </w:r>
      <w:r w:rsidR="008737DF" w:rsidRPr="008737DF">
        <w:rPr>
          <w:rFonts w:ascii="Calibri" w:eastAsia="Calibri" w:hAnsi="Calibri" w:cs="Calibri"/>
        </w:rPr>
        <w:t xml:space="preserve"> zł</w:t>
      </w:r>
      <w:r w:rsidR="00A85B0A">
        <w:rPr>
          <w:rFonts w:ascii="Calibri" w:eastAsia="Calibri" w:hAnsi="Calibri" w:cs="Calibri"/>
        </w:rPr>
        <w:t xml:space="preserve"> – wzrost o </w:t>
      </w:r>
      <w:r w:rsidR="001658C3">
        <w:rPr>
          <w:rFonts w:ascii="Calibri" w:eastAsia="Calibri" w:hAnsi="Calibri" w:cs="Calibri"/>
        </w:rPr>
        <w:t>11,5</w:t>
      </w:r>
      <w:r w:rsidR="00A85B0A">
        <w:rPr>
          <w:rFonts w:ascii="Calibri" w:eastAsia="Calibri" w:hAnsi="Calibri" w:cs="Calibri"/>
        </w:rPr>
        <w:t xml:space="preserve"> proc.</w:t>
      </w:r>
    </w:p>
    <w:p w14:paraId="1B518C4B" w14:textId="77777777" w:rsidR="000E6731" w:rsidRPr="000E6731" w:rsidRDefault="000E6731" w:rsidP="000E6731">
      <w:pPr>
        <w:jc w:val="both"/>
        <w:rPr>
          <w:rFonts w:ascii="Calibri" w:eastAsia="Calibri" w:hAnsi="Calibri" w:cs="Calibri"/>
          <w:b/>
          <w:bCs/>
          <w:color w:val="FF0000"/>
          <w:lang w:val="pl-PL"/>
        </w:rPr>
      </w:pPr>
    </w:p>
    <w:p w14:paraId="0ACD561A" w14:textId="2A9E32C9" w:rsidR="009540B4" w:rsidRPr="005737E7" w:rsidRDefault="00F30543" w:rsidP="009540B4">
      <w:pPr>
        <w:jc w:val="both"/>
        <w:rPr>
          <w:rFonts w:ascii="Calibri" w:eastAsia="Calibri" w:hAnsi="Calibri" w:cs="Calibri"/>
          <w:b/>
          <w:bCs/>
          <w:color w:val="222222"/>
          <w:lang w:val="pl-PL"/>
        </w:rPr>
      </w:pPr>
      <w:r w:rsidRPr="005737E7">
        <w:rPr>
          <w:rFonts w:ascii="Calibri" w:eastAsia="Calibri" w:hAnsi="Calibri" w:cs="Calibri"/>
          <w:b/>
          <w:bCs/>
          <w:color w:val="222222"/>
          <w:lang w:val="pl-PL"/>
        </w:rPr>
        <w:t>R</w:t>
      </w:r>
      <w:r w:rsidR="009540B4" w:rsidRPr="005737E7">
        <w:rPr>
          <w:rFonts w:ascii="Calibri" w:eastAsia="Calibri" w:hAnsi="Calibri" w:cs="Calibri"/>
          <w:b/>
          <w:bCs/>
          <w:color w:val="222222"/>
          <w:lang w:val="pl-PL"/>
        </w:rPr>
        <w:t xml:space="preserve">egiony z największym </w:t>
      </w:r>
      <w:r w:rsidR="00416EC2" w:rsidRPr="005737E7">
        <w:rPr>
          <w:rFonts w:ascii="Calibri" w:eastAsia="Calibri" w:hAnsi="Calibri" w:cs="Calibri"/>
          <w:b/>
          <w:bCs/>
          <w:color w:val="222222"/>
          <w:lang w:val="pl-PL"/>
        </w:rPr>
        <w:t xml:space="preserve">zaległym </w:t>
      </w:r>
      <w:r w:rsidR="009540B4" w:rsidRPr="005737E7">
        <w:rPr>
          <w:rFonts w:ascii="Calibri" w:eastAsia="Calibri" w:hAnsi="Calibri" w:cs="Calibri"/>
          <w:b/>
          <w:bCs/>
          <w:color w:val="222222"/>
          <w:lang w:val="pl-PL"/>
        </w:rPr>
        <w:t>zadłużeniem</w:t>
      </w:r>
      <w:r w:rsidRPr="005737E7">
        <w:rPr>
          <w:rFonts w:ascii="Calibri" w:eastAsia="Calibri" w:hAnsi="Calibri" w:cs="Calibri"/>
          <w:b/>
          <w:bCs/>
          <w:color w:val="222222"/>
          <w:lang w:val="pl-PL"/>
        </w:rPr>
        <w:t xml:space="preserve"> wobec firm ubezpieczeniowych</w:t>
      </w:r>
    </w:p>
    <w:p w14:paraId="08B79089" w14:textId="77777777" w:rsidR="009540B4" w:rsidRPr="005737E7" w:rsidRDefault="009540B4" w:rsidP="009540B4">
      <w:pPr>
        <w:jc w:val="both"/>
        <w:rPr>
          <w:rFonts w:ascii="Calibri" w:eastAsia="Calibri" w:hAnsi="Calibri" w:cs="Calibri"/>
          <w:b/>
          <w:bCs/>
          <w:color w:val="222222"/>
          <w:lang w:val="pl-PL"/>
        </w:rPr>
      </w:pPr>
    </w:p>
    <w:p w14:paraId="32C51CC6" w14:textId="7330DEE8" w:rsidR="009540B4" w:rsidRPr="005737E7" w:rsidRDefault="009540B4" w:rsidP="009540B4">
      <w:pPr>
        <w:jc w:val="both"/>
        <w:rPr>
          <w:rFonts w:ascii="Calibri" w:eastAsia="Calibri" w:hAnsi="Calibri" w:cs="Calibri"/>
          <w:bCs/>
          <w:color w:val="222222"/>
          <w:lang w:val="pl-PL"/>
        </w:rPr>
      </w:pPr>
      <w:r w:rsidRPr="005737E7">
        <w:rPr>
          <w:rFonts w:ascii="Calibri" w:eastAsia="Calibri" w:hAnsi="Calibri" w:cs="Calibri"/>
          <w:bCs/>
          <w:color w:val="222222"/>
          <w:lang w:val="pl-PL"/>
        </w:rPr>
        <w:t xml:space="preserve">Największe natężenie problemu </w:t>
      </w:r>
      <w:r w:rsidR="00416EC2" w:rsidRPr="005737E7">
        <w:rPr>
          <w:rFonts w:ascii="Calibri" w:eastAsia="Calibri" w:hAnsi="Calibri" w:cs="Calibri"/>
          <w:bCs/>
          <w:color w:val="222222"/>
          <w:lang w:val="pl-PL"/>
        </w:rPr>
        <w:t xml:space="preserve">przeterminowanego </w:t>
      </w:r>
      <w:r w:rsidRPr="005737E7">
        <w:rPr>
          <w:rFonts w:ascii="Calibri" w:eastAsia="Calibri" w:hAnsi="Calibri" w:cs="Calibri"/>
          <w:bCs/>
          <w:color w:val="222222"/>
          <w:lang w:val="pl-PL"/>
        </w:rPr>
        <w:t>zadłużenia widoczne jest w województwie mazowieckim, gdzie</w:t>
      </w:r>
      <w:r w:rsidR="002C49A8">
        <w:rPr>
          <w:rFonts w:ascii="Calibri" w:eastAsia="Calibri" w:hAnsi="Calibri" w:cs="Calibri"/>
          <w:bCs/>
          <w:color w:val="222222"/>
          <w:lang w:val="pl-PL"/>
        </w:rPr>
        <w:t xml:space="preserve"> </w:t>
      </w:r>
      <w:r w:rsidR="001658C3">
        <w:rPr>
          <w:rFonts w:ascii="Calibri" w:eastAsia="Calibri" w:hAnsi="Calibri" w:cs="Calibri"/>
          <w:bCs/>
          <w:color w:val="222222"/>
          <w:lang w:val="pl-PL"/>
        </w:rPr>
        <w:t>ponad 26</w:t>
      </w:r>
      <w:r w:rsidR="002C49A8">
        <w:rPr>
          <w:rFonts w:ascii="Calibri" w:eastAsia="Calibri" w:hAnsi="Calibri" w:cs="Calibri"/>
          <w:bCs/>
          <w:color w:val="222222"/>
          <w:lang w:val="pl-PL"/>
        </w:rPr>
        <w:t xml:space="preserve"> tys.</w:t>
      </w:r>
      <w:r w:rsidRPr="005737E7">
        <w:rPr>
          <w:rFonts w:ascii="Calibri" w:eastAsia="Calibri" w:hAnsi="Calibri" w:cs="Calibri"/>
          <w:bCs/>
          <w:color w:val="222222"/>
          <w:lang w:val="pl-PL"/>
        </w:rPr>
        <w:t xml:space="preserve"> os</w:t>
      </w:r>
      <w:r w:rsidR="002C49A8">
        <w:rPr>
          <w:rFonts w:ascii="Calibri" w:eastAsia="Calibri" w:hAnsi="Calibri" w:cs="Calibri"/>
          <w:bCs/>
          <w:color w:val="222222"/>
          <w:lang w:val="pl-PL"/>
        </w:rPr>
        <w:t>ób</w:t>
      </w:r>
      <w:r w:rsidRPr="005737E7">
        <w:rPr>
          <w:rFonts w:ascii="Calibri" w:eastAsia="Calibri" w:hAnsi="Calibri" w:cs="Calibri"/>
          <w:bCs/>
          <w:color w:val="222222"/>
          <w:lang w:val="pl-PL"/>
        </w:rPr>
        <w:t xml:space="preserve"> posiada zaległości wobec towarzystw ubezpieczeniowych. Łączna kwota </w:t>
      </w:r>
      <w:r w:rsidR="00416EC2" w:rsidRPr="005737E7">
        <w:rPr>
          <w:rFonts w:ascii="Calibri" w:eastAsia="Calibri" w:hAnsi="Calibri" w:cs="Calibri"/>
          <w:bCs/>
          <w:color w:val="222222"/>
          <w:lang w:val="pl-PL"/>
        </w:rPr>
        <w:t xml:space="preserve">zaległego </w:t>
      </w:r>
      <w:r w:rsidRPr="005737E7">
        <w:rPr>
          <w:rFonts w:ascii="Calibri" w:eastAsia="Calibri" w:hAnsi="Calibri" w:cs="Calibri"/>
          <w:bCs/>
          <w:color w:val="222222"/>
          <w:lang w:val="pl-PL"/>
        </w:rPr>
        <w:t xml:space="preserve">zadłużenia w regionie sięga </w:t>
      </w:r>
      <w:r w:rsidR="001658C3">
        <w:rPr>
          <w:rFonts w:ascii="Calibri" w:eastAsia="Calibri" w:hAnsi="Calibri" w:cs="Calibri"/>
          <w:bCs/>
          <w:color w:val="222222"/>
          <w:lang w:val="pl-PL"/>
        </w:rPr>
        <w:t>blisko 73</w:t>
      </w:r>
      <w:r w:rsidRPr="005737E7">
        <w:rPr>
          <w:rFonts w:ascii="Calibri" w:eastAsia="Calibri" w:hAnsi="Calibri" w:cs="Calibri"/>
          <w:bCs/>
          <w:color w:val="222222"/>
          <w:lang w:val="pl-PL"/>
        </w:rPr>
        <w:t xml:space="preserve"> mln zł. </w:t>
      </w:r>
      <w:r w:rsidR="00E0456D" w:rsidRPr="005737E7">
        <w:rPr>
          <w:rFonts w:ascii="Calibri" w:eastAsia="Calibri" w:hAnsi="Calibri" w:cs="Calibri"/>
          <w:bCs/>
          <w:color w:val="222222"/>
          <w:lang w:val="pl-PL"/>
        </w:rPr>
        <w:t>Kolejne miejsca zajmują województwa śląskie</w:t>
      </w:r>
      <w:r w:rsidR="00F30543" w:rsidRPr="005737E7">
        <w:rPr>
          <w:rFonts w:ascii="Calibri" w:eastAsia="Calibri" w:hAnsi="Calibri" w:cs="Calibri"/>
          <w:bCs/>
          <w:color w:val="222222"/>
          <w:lang w:val="pl-PL"/>
        </w:rPr>
        <w:t xml:space="preserve"> i wielkopolskie</w:t>
      </w:r>
      <w:r w:rsidR="00E0456D" w:rsidRPr="005737E7">
        <w:rPr>
          <w:rFonts w:ascii="Calibri" w:eastAsia="Calibri" w:hAnsi="Calibri" w:cs="Calibri"/>
          <w:bCs/>
          <w:color w:val="222222"/>
          <w:lang w:val="pl-PL"/>
        </w:rPr>
        <w:t xml:space="preserve"> – odpowiednio 1</w:t>
      </w:r>
      <w:r w:rsidR="00F30543" w:rsidRPr="005737E7">
        <w:rPr>
          <w:rFonts w:ascii="Calibri" w:eastAsia="Calibri" w:hAnsi="Calibri" w:cs="Calibri"/>
          <w:bCs/>
          <w:color w:val="222222"/>
          <w:lang w:val="pl-PL"/>
        </w:rPr>
        <w:t>6,4</w:t>
      </w:r>
      <w:r w:rsidR="001658C3">
        <w:rPr>
          <w:rFonts w:ascii="Calibri" w:eastAsia="Calibri" w:hAnsi="Calibri" w:cs="Calibri"/>
          <w:bCs/>
          <w:color w:val="222222"/>
          <w:lang w:val="pl-PL"/>
        </w:rPr>
        <w:t>7</w:t>
      </w:r>
      <w:r w:rsidR="00F30543" w:rsidRPr="005737E7">
        <w:rPr>
          <w:rFonts w:ascii="Calibri" w:eastAsia="Calibri" w:hAnsi="Calibri" w:cs="Calibri"/>
          <w:bCs/>
          <w:color w:val="222222"/>
          <w:lang w:val="pl-PL"/>
        </w:rPr>
        <w:t>tys.</w:t>
      </w:r>
      <w:r w:rsidR="00E0456D" w:rsidRPr="005737E7">
        <w:rPr>
          <w:rFonts w:ascii="Calibri" w:eastAsia="Calibri" w:hAnsi="Calibri" w:cs="Calibri"/>
          <w:bCs/>
          <w:color w:val="222222"/>
          <w:lang w:val="pl-PL"/>
        </w:rPr>
        <w:t xml:space="preserve"> i 1</w:t>
      </w:r>
      <w:r w:rsidR="00F30543" w:rsidRPr="005737E7">
        <w:rPr>
          <w:rFonts w:ascii="Calibri" w:eastAsia="Calibri" w:hAnsi="Calibri" w:cs="Calibri"/>
          <w:bCs/>
          <w:color w:val="222222"/>
          <w:lang w:val="pl-PL"/>
        </w:rPr>
        <w:t>6,</w:t>
      </w:r>
      <w:r w:rsidR="001658C3">
        <w:rPr>
          <w:rFonts w:ascii="Calibri" w:eastAsia="Calibri" w:hAnsi="Calibri" w:cs="Calibri"/>
          <w:bCs/>
          <w:color w:val="222222"/>
          <w:lang w:val="pl-PL"/>
        </w:rPr>
        <w:t>5</w:t>
      </w:r>
      <w:r w:rsidR="00F30543" w:rsidRPr="005737E7">
        <w:rPr>
          <w:rFonts w:ascii="Calibri" w:eastAsia="Calibri" w:hAnsi="Calibri" w:cs="Calibri"/>
          <w:bCs/>
          <w:color w:val="222222"/>
          <w:lang w:val="pl-PL"/>
        </w:rPr>
        <w:t xml:space="preserve"> tys.</w:t>
      </w:r>
      <w:r w:rsidR="00E0456D" w:rsidRPr="005737E7">
        <w:rPr>
          <w:rFonts w:ascii="Calibri" w:eastAsia="Calibri" w:hAnsi="Calibri" w:cs="Calibri"/>
          <w:bCs/>
          <w:color w:val="222222"/>
          <w:lang w:val="pl-PL"/>
        </w:rPr>
        <w:t xml:space="preserve"> dłużników – z zadłużeniem </w:t>
      </w:r>
      <w:r w:rsidR="00416EC2" w:rsidRPr="005737E7">
        <w:rPr>
          <w:rFonts w:ascii="Calibri" w:eastAsia="Calibri" w:hAnsi="Calibri" w:cs="Calibri"/>
          <w:bCs/>
          <w:color w:val="222222"/>
          <w:lang w:val="pl-PL"/>
        </w:rPr>
        <w:t xml:space="preserve">przeterminowanym </w:t>
      </w:r>
      <w:r w:rsidR="00E0456D" w:rsidRPr="005737E7">
        <w:rPr>
          <w:rFonts w:ascii="Calibri" w:eastAsia="Calibri" w:hAnsi="Calibri" w:cs="Calibri"/>
          <w:bCs/>
          <w:color w:val="222222"/>
          <w:lang w:val="pl-PL"/>
        </w:rPr>
        <w:t xml:space="preserve">wynoszącym </w:t>
      </w:r>
      <w:r w:rsidR="005737E7" w:rsidRPr="005737E7">
        <w:rPr>
          <w:rFonts w:ascii="Calibri" w:eastAsia="Calibri" w:hAnsi="Calibri" w:cs="Calibri"/>
          <w:bCs/>
          <w:color w:val="222222"/>
          <w:lang w:val="pl-PL"/>
        </w:rPr>
        <w:t xml:space="preserve">ponad </w:t>
      </w:r>
      <w:r w:rsidR="00E0456D" w:rsidRPr="005737E7">
        <w:rPr>
          <w:rFonts w:ascii="Calibri" w:eastAsia="Calibri" w:hAnsi="Calibri" w:cs="Calibri"/>
          <w:bCs/>
          <w:color w:val="222222"/>
          <w:lang w:val="pl-PL"/>
        </w:rPr>
        <w:t>3</w:t>
      </w:r>
      <w:r w:rsidR="001658C3">
        <w:rPr>
          <w:rFonts w:ascii="Calibri" w:eastAsia="Calibri" w:hAnsi="Calibri" w:cs="Calibri"/>
          <w:bCs/>
          <w:color w:val="222222"/>
          <w:lang w:val="pl-PL"/>
        </w:rPr>
        <w:t>6</w:t>
      </w:r>
      <w:r w:rsidR="00E0456D" w:rsidRPr="005737E7">
        <w:rPr>
          <w:rFonts w:ascii="Calibri" w:eastAsia="Calibri" w:hAnsi="Calibri" w:cs="Calibri"/>
          <w:bCs/>
          <w:color w:val="222222"/>
          <w:lang w:val="pl-PL"/>
        </w:rPr>
        <w:t xml:space="preserve"> mln zł i 3</w:t>
      </w:r>
      <w:r w:rsidR="001658C3">
        <w:rPr>
          <w:rFonts w:ascii="Calibri" w:eastAsia="Calibri" w:hAnsi="Calibri" w:cs="Calibri"/>
          <w:bCs/>
          <w:color w:val="222222"/>
          <w:lang w:val="pl-PL"/>
        </w:rPr>
        <w:t>7</w:t>
      </w:r>
      <w:r w:rsidR="00E0456D" w:rsidRPr="005737E7">
        <w:rPr>
          <w:rFonts w:ascii="Calibri" w:eastAsia="Calibri" w:hAnsi="Calibri" w:cs="Calibri"/>
          <w:bCs/>
          <w:color w:val="222222"/>
          <w:lang w:val="pl-PL"/>
        </w:rPr>
        <w:t>,</w:t>
      </w:r>
      <w:r w:rsidR="001658C3">
        <w:rPr>
          <w:rFonts w:ascii="Calibri" w:eastAsia="Calibri" w:hAnsi="Calibri" w:cs="Calibri"/>
          <w:bCs/>
          <w:color w:val="222222"/>
          <w:lang w:val="pl-PL"/>
        </w:rPr>
        <w:t>5</w:t>
      </w:r>
      <w:r w:rsidR="00E0456D" w:rsidRPr="005737E7">
        <w:rPr>
          <w:rFonts w:ascii="Calibri" w:eastAsia="Calibri" w:hAnsi="Calibri" w:cs="Calibri"/>
          <w:bCs/>
          <w:color w:val="222222"/>
          <w:lang w:val="pl-PL"/>
        </w:rPr>
        <w:t xml:space="preserve"> mln zł</w:t>
      </w:r>
      <w:r w:rsidR="005737E7" w:rsidRPr="005737E7">
        <w:rPr>
          <w:rFonts w:ascii="Calibri" w:eastAsia="Calibri" w:hAnsi="Calibri" w:cs="Calibri"/>
          <w:bCs/>
          <w:color w:val="222222"/>
          <w:lang w:val="pl-PL"/>
        </w:rPr>
        <w:t xml:space="preserve"> </w:t>
      </w:r>
      <w:r w:rsidR="00E0456D" w:rsidRPr="005737E7">
        <w:rPr>
          <w:rFonts w:ascii="Calibri" w:eastAsia="Calibri" w:hAnsi="Calibri" w:cs="Calibri"/>
          <w:bCs/>
          <w:color w:val="222222"/>
          <w:lang w:val="pl-PL"/>
        </w:rPr>
        <w:t xml:space="preserve">– co świadczy o wyższej </w:t>
      </w:r>
      <w:r w:rsidR="00AB267E" w:rsidRPr="005737E7">
        <w:rPr>
          <w:rFonts w:ascii="Calibri" w:eastAsia="Calibri" w:hAnsi="Calibri" w:cs="Calibri"/>
          <w:bCs/>
          <w:color w:val="222222"/>
          <w:lang w:val="pl-PL"/>
        </w:rPr>
        <w:t>koncentracji zaległych</w:t>
      </w:r>
      <w:r w:rsidR="000C0D1B" w:rsidRPr="005737E7">
        <w:rPr>
          <w:rFonts w:ascii="Calibri" w:eastAsia="Calibri" w:hAnsi="Calibri" w:cs="Calibri"/>
          <w:bCs/>
          <w:color w:val="222222"/>
          <w:lang w:val="pl-PL"/>
        </w:rPr>
        <w:t xml:space="preserve"> </w:t>
      </w:r>
      <w:r w:rsidR="00E0456D" w:rsidRPr="005737E7">
        <w:rPr>
          <w:rFonts w:ascii="Calibri" w:eastAsia="Calibri" w:hAnsi="Calibri" w:cs="Calibri"/>
          <w:bCs/>
          <w:color w:val="222222"/>
          <w:lang w:val="pl-PL"/>
        </w:rPr>
        <w:t>zobowiązań wśród klientów w dużych ośrodkach miejskich, bardziej aktywnych gospodarczo.</w:t>
      </w:r>
    </w:p>
    <w:p w14:paraId="4C337CBC" w14:textId="77777777" w:rsidR="00E0456D" w:rsidRPr="001604B1" w:rsidRDefault="00E0456D" w:rsidP="009540B4">
      <w:pPr>
        <w:jc w:val="both"/>
        <w:rPr>
          <w:rFonts w:ascii="Calibri" w:eastAsia="Calibri" w:hAnsi="Calibri" w:cs="Calibri"/>
          <w:bCs/>
          <w:color w:val="222222"/>
          <w:lang w:val="pl-PL"/>
        </w:rPr>
      </w:pPr>
    </w:p>
    <w:p w14:paraId="2521C609" w14:textId="70BF9F54" w:rsidR="009540B4" w:rsidRPr="001604B1" w:rsidRDefault="008F28D7" w:rsidP="009540B4">
      <w:pPr>
        <w:jc w:val="both"/>
        <w:rPr>
          <w:rFonts w:ascii="Calibri" w:eastAsia="Calibri" w:hAnsi="Calibri" w:cs="Calibri"/>
          <w:b/>
          <w:bCs/>
          <w:color w:val="222222"/>
          <w:lang w:val="pl-PL"/>
        </w:rPr>
      </w:pPr>
      <w:r>
        <w:rPr>
          <w:rFonts w:ascii="Calibri" w:eastAsia="Calibri" w:hAnsi="Calibri" w:cs="Calibri"/>
          <w:b/>
          <w:bCs/>
          <w:color w:val="222222"/>
          <w:lang w:val="pl-PL"/>
        </w:rPr>
        <w:t>R</w:t>
      </w:r>
      <w:r w:rsidR="001749AE" w:rsidRPr="001604B1">
        <w:rPr>
          <w:rFonts w:ascii="Calibri" w:eastAsia="Calibri" w:hAnsi="Calibri" w:cs="Calibri"/>
          <w:b/>
          <w:bCs/>
          <w:color w:val="222222"/>
          <w:lang w:val="pl-PL"/>
        </w:rPr>
        <w:t xml:space="preserve">yzykowni klienci </w:t>
      </w:r>
      <w:r w:rsidR="009540B4" w:rsidRPr="001604B1">
        <w:rPr>
          <w:rFonts w:ascii="Calibri" w:eastAsia="Calibri" w:hAnsi="Calibri" w:cs="Calibri"/>
          <w:b/>
          <w:bCs/>
          <w:color w:val="222222"/>
          <w:lang w:val="pl-PL"/>
        </w:rPr>
        <w:t>– trzydziesto- i czterdziestol</w:t>
      </w:r>
      <w:r w:rsidR="00F76059" w:rsidRPr="001604B1">
        <w:rPr>
          <w:rFonts w:ascii="Calibri" w:eastAsia="Calibri" w:hAnsi="Calibri" w:cs="Calibri"/>
          <w:b/>
          <w:bCs/>
          <w:color w:val="222222"/>
          <w:lang w:val="pl-PL"/>
        </w:rPr>
        <w:t>etni mężczyźni</w:t>
      </w:r>
    </w:p>
    <w:p w14:paraId="0FDDC356" w14:textId="77777777" w:rsidR="009540B4" w:rsidRPr="001604B1" w:rsidRDefault="009540B4" w:rsidP="009540B4">
      <w:pPr>
        <w:jc w:val="both"/>
        <w:rPr>
          <w:rFonts w:ascii="Calibri" w:eastAsia="Calibri" w:hAnsi="Calibri" w:cs="Calibri"/>
          <w:b/>
          <w:bCs/>
          <w:color w:val="222222"/>
          <w:lang w:val="pl-PL"/>
        </w:rPr>
      </w:pPr>
    </w:p>
    <w:p w14:paraId="1BB71BF2" w14:textId="7F5E9EA7" w:rsidR="009540B4" w:rsidRPr="00415AEF" w:rsidRDefault="009540B4" w:rsidP="009540B4">
      <w:pPr>
        <w:jc w:val="both"/>
        <w:rPr>
          <w:rFonts w:ascii="Calibri" w:eastAsia="Calibri" w:hAnsi="Calibri" w:cs="Calibri"/>
          <w:b/>
          <w:color w:val="222222"/>
          <w:lang w:val="pl-PL"/>
        </w:rPr>
      </w:pPr>
      <w:r w:rsidRPr="001604B1">
        <w:rPr>
          <w:rFonts w:ascii="Calibri" w:eastAsia="Calibri" w:hAnsi="Calibri" w:cs="Calibri"/>
          <w:bCs/>
          <w:color w:val="222222"/>
          <w:lang w:val="pl-PL"/>
        </w:rPr>
        <w:t xml:space="preserve">Z perspektywy demograficznej problem </w:t>
      </w:r>
      <w:r w:rsidR="00416EC2" w:rsidRPr="001604B1">
        <w:rPr>
          <w:rFonts w:ascii="Calibri" w:eastAsia="Calibri" w:hAnsi="Calibri" w:cs="Calibri"/>
          <w:bCs/>
          <w:color w:val="222222"/>
          <w:lang w:val="pl-PL"/>
        </w:rPr>
        <w:t xml:space="preserve">zaległego </w:t>
      </w:r>
      <w:r w:rsidRPr="001604B1">
        <w:rPr>
          <w:rFonts w:ascii="Calibri" w:eastAsia="Calibri" w:hAnsi="Calibri" w:cs="Calibri"/>
          <w:bCs/>
          <w:color w:val="222222"/>
          <w:lang w:val="pl-PL"/>
        </w:rPr>
        <w:t xml:space="preserve">zadłużenia dotyczy przede wszystkim osób w wieku produkcyjnym. Największą grupę stanowią osoby między 35 a 44 rokiem życia – w tej kategorii wiekowej znajduje się </w:t>
      </w:r>
      <w:r w:rsidR="001604B1" w:rsidRPr="001604B1">
        <w:rPr>
          <w:rFonts w:ascii="Calibri" w:eastAsia="Calibri" w:hAnsi="Calibri" w:cs="Calibri"/>
          <w:bCs/>
          <w:color w:val="222222"/>
          <w:lang w:val="pl-PL"/>
        </w:rPr>
        <w:t>blisko</w:t>
      </w:r>
      <w:r w:rsidR="00F04470" w:rsidRPr="001604B1">
        <w:rPr>
          <w:rFonts w:ascii="Calibri" w:eastAsia="Calibri" w:hAnsi="Calibri" w:cs="Calibri"/>
          <w:bCs/>
          <w:color w:val="222222"/>
          <w:lang w:val="pl-PL"/>
        </w:rPr>
        <w:t xml:space="preserve"> 3</w:t>
      </w:r>
      <w:r w:rsidR="001604B1" w:rsidRPr="001604B1">
        <w:rPr>
          <w:rFonts w:ascii="Calibri" w:eastAsia="Calibri" w:hAnsi="Calibri" w:cs="Calibri"/>
          <w:bCs/>
          <w:color w:val="222222"/>
          <w:lang w:val="pl-PL"/>
        </w:rPr>
        <w:t>3</w:t>
      </w:r>
      <w:r w:rsidR="001658C3">
        <w:rPr>
          <w:rFonts w:ascii="Calibri" w:eastAsia="Calibri" w:hAnsi="Calibri" w:cs="Calibri"/>
          <w:bCs/>
          <w:color w:val="222222"/>
          <w:lang w:val="pl-PL"/>
        </w:rPr>
        <w:t>,5</w:t>
      </w:r>
      <w:r w:rsidR="001604B1" w:rsidRPr="001604B1">
        <w:rPr>
          <w:rFonts w:ascii="Calibri" w:eastAsia="Calibri" w:hAnsi="Calibri" w:cs="Calibri"/>
          <w:bCs/>
          <w:color w:val="222222"/>
          <w:lang w:val="pl-PL"/>
        </w:rPr>
        <w:t xml:space="preserve"> tys.</w:t>
      </w:r>
      <w:r w:rsidRPr="001604B1">
        <w:rPr>
          <w:rFonts w:ascii="Calibri" w:eastAsia="Calibri" w:hAnsi="Calibri" w:cs="Calibri"/>
          <w:bCs/>
          <w:color w:val="222222"/>
          <w:lang w:val="pl-PL"/>
        </w:rPr>
        <w:t xml:space="preserve"> </w:t>
      </w:r>
      <w:r w:rsidR="00416EC2" w:rsidRPr="001604B1">
        <w:rPr>
          <w:rFonts w:ascii="Calibri" w:eastAsia="Calibri" w:hAnsi="Calibri" w:cs="Calibri"/>
          <w:bCs/>
          <w:color w:val="222222"/>
          <w:lang w:val="pl-PL"/>
        </w:rPr>
        <w:t xml:space="preserve">niesolidnych </w:t>
      </w:r>
      <w:r w:rsidRPr="001604B1">
        <w:rPr>
          <w:rFonts w:ascii="Calibri" w:eastAsia="Calibri" w:hAnsi="Calibri" w:cs="Calibri"/>
          <w:bCs/>
          <w:color w:val="222222"/>
          <w:lang w:val="pl-PL"/>
        </w:rPr>
        <w:t xml:space="preserve">dłużników. Drugą najliczniejszą grupą są osoby </w:t>
      </w:r>
      <w:r w:rsidR="00F04470" w:rsidRPr="001604B1">
        <w:rPr>
          <w:rFonts w:ascii="Calibri" w:eastAsia="Calibri" w:hAnsi="Calibri" w:cs="Calibri"/>
          <w:bCs/>
          <w:color w:val="222222"/>
          <w:lang w:val="pl-PL"/>
        </w:rPr>
        <w:t xml:space="preserve">w przedziale 25–34 lata – </w:t>
      </w:r>
      <w:r w:rsidR="001604B1" w:rsidRPr="001604B1">
        <w:rPr>
          <w:rFonts w:ascii="Calibri" w:eastAsia="Calibri" w:hAnsi="Calibri" w:cs="Calibri"/>
          <w:bCs/>
          <w:color w:val="222222"/>
          <w:lang w:val="pl-PL"/>
        </w:rPr>
        <w:t>około 29 tys.</w:t>
      </w:r>
      <w:r w:rsidRPr="001604B1">
        <w:rPr>
          <w:rFonts w:ascii="Calibri" w:eastAsia="Calibri" w:hAnsi="Calibri" w:cs="Calibri"/>
          <w:bCs/>
          <w:color w:val="222222"/>
          <w:lang w:val="pl-PL"/>
        </w:rPr>
        <w:t xml:space="preserve"> przypadków. W </w:t>
      </w:r>
      <w:r w:rsidR="00AB267E" w:rsidRPr="001604B1">
        <w:rPr>
          <w:rFonts w:ascii="Calibri" w:eastAsia="Calibri" w:hAnsi="Calibri" w:cs="Calibri"/>
          <w:bCs/>
          <w:color w:val="222222"/>
          <w:lang w:val="pl-PL"/>
        </w:rPr>
        <w:t>obu grupach</w:t>
      </w:r>
      <w:r w:rsidRPr="001604B1">
        <w:rPr>
          <w:rFonts w:ascii="Calibri" w:eastAsia="Calibri" w:hAnsi="Calibri" w:cs="Calibri"/>
          <w:bCs/>
          <w:color w:val="222222"/>
          <w:lang w:val="pl-PL"/>
        </w:rPr>
        <w:t xml:space="preserve"> dominują mężczyźni – tylko </w:t>
      </w:r>
      <w:r w:rsidR="002C49A8">
        <w:rPr>
          <w:rFonts w:ascii="Calibri" w:eastAsia="Calibri" w:hAnsi="Calibri" w:cs="Calibri"/>
          <w:bCs/>
          <w:color w:val="222222"/>
          <w:lang w:val="pl-PL"/>
        </w:rPr>
        <w:t>wśród</w:t>
      </w:r>
      <w:r w:rsidR="00F04470" w:rsidRPr="001604B1">
        <w:rPr>
          <w:rFonts w:ascii="Calibri" w:eastAsia="Calibri" w:hAnsi="Calibri" w:cs="Calibri"/>
          <w:bCs/>
          <w:color w:val="222222"/>
          <w:lang w:val="pl-PL"/>
        </w:rPr>
        <w:t xml:space="preserve"> 35–44 lat</w:t>
      </w:r>
      <w:r w:rsidR="002C49A8">
        <w:rPr>
          <w:rFonts w:ascii="Calibri" w:eastAsia="Calibri" w:hAnsi="Calibri" w:cs="Calibri"/>
          <w:bCs/>
          <w:color w:val="222222"/>
          <w:lang w:val="pl-PL"/>
        </w:rPr>
        <w:t>ków</w:t>
      </w:r>
      <w:r w:rsidR="00F04470" w:rsidRPr="001604B1">
        <w:rPr>
          <w:rFonts w:ascii="Calibri" w:eastAsia="Calibri" w:hAnsi="Calibri" w:cs="Calibri"/>
          <w:bCs/>
          <w:color w:val="222222"/>
          <w:lang w:val="pl-PL"/>
        </w:rPr>
        <w:t xml:space="preserve"> jest ich </w:t>
      </w:r>
      <w:r w:rsidR="005E6668">
        <w:rPr>
          <w:rFonts w:ascii="Calibri" w:eastAsia="Calibri" w:hAnsi="Calibri" w:cs="Calibri"/>
          <w:bCs/>
          <w:color w:val="222222"/>
          <w:lang w:val="pl-PL"/>
        </w:rPr>
        <w:t>ponad</w:t>
      </w:r>
      <w:r w:rsidR="001604B1" w:rsidRPr="001604B1">
        <w:rPr>
          <w:rFonts w:ascii="Calibri" w:eastAsia="Calibri" w:hAnsi="Calibri" w:cs="Calibri"/>
          <w:bCs/>
          <w:color w:val="222222"/>
          <w:lang w:val="pl-PL"/>
        </w:rPr>
        <w:t xml:space="preserve"> 2</w:t>
      </w:r>
      <w:r w:rsidR="005E6668">
        <w:rPr>
          <w:rFonts w:ascii="Calibri" w:eastAsia="Calibri" w:hAnsi="Calibri" w:cs="Calibri"/>
          <w:bCs/>
          <w:color w:val="222222"/>
          <w:lang w:val="pl-PL"/>
        </w:rPr>
        <w:t>5,4</w:t>
      </w:r>
      <w:r w:rsidR="001604B1" w:rsidRPr="001604B1">
        <w:rPr>
          <w:rFonts w:ascii="Calibri" w:eastAsia="Calibri" w:hAnsi="Calibri" w:cs="Calibri"/>
          <w:bCs/>
          <w:color w:val="222222"/>
          <w:lang w:val="pl-PL"/>
        </w:rPr>
        <w:t xml:space="preserve"> tys</w:t>
      </w:r>
      <w:r w:rsidRPr="001604B1">
        <w:rPr>
          <w:rFonts w:ascii="Calibri" w:eastAsia="Calibri" w:hAnsi="Calibri" w:cs="Calibri"/>
          <w:bCs/>
          <w:color w:val="222222"/>
          <w:lang w:val="pl-PL"/>
        </w:rPr>
        <w:t xml:space="preserve">. </w:t>
      </w:r>
      <w:r w:rsidR="00415AEF">
        <w:rPr>
          <w:rFonts w:ascii="Calibri" w:eastAsia="Calibri" w:hAnsi="Calibri" w:cs="Calibri"/>
          <w:bCs/>
          <w:color w:val="222222"/>
          <w:lang w:val="pl-PL"/>
        </w:rPr>
        <w:t xml:space="preserve"> - </w:t>
      </w:r>
      <w:r w:rsidRPr="00415AEF">
        <w:rPr>
          <w:rFonts w:ascii="Calibri" w:eastAsia="Calibri" w:hAnsi="Calibri" w:cs="Calibri"/>
          <w:bCs/>
          <w:i/>
          <w:iCs/>
          <w:color w:val="222222"/>
          <w:lang w:val="pl-PL"/>
        </w:rPr>
        <w:t>To osoby, które z reguły posiadają kilka równoległych polis – komunikacyjne, mieszkaniowe, zdrowotne czy życiowe – a także są obciążone kredytami, leasingami i kosztami prowadzenia gospodarstwa domowego. Przy wysokim poziomie zobowiązań, nawet niewielkie zachwianie płynności finansowej może prowadzić do opóźnień w regulowaniu składek.</w:t>
      </w:r>
      <w:r w:rsidR="0012284C" w:rsidRPr="00415AEF">
        <w:rPr>
          <w:rFonts w:ascii="Calibri" w:eastAsia="Calibri" w:hAnsi="Calibri" w:cs="Calibri"/>
          <w:bCs/>
          <w:i/>
          <w:iCs/>
          <w:color w:val="222222"/>
          <w:lang w:val="pl-PL"/>
        </w:rPr>
        <w:t xml:space="preserve"> Ponadto jak wynika z </w:t>
      </w:r>
      <w:r w:rsidR="00871ECD" w:rsidRPr="00415AEF">
        <w:rPr>
          <w:rFonts w:ascii="Calibri" w:eastAsia="Calibri" w:hAnsi="Calibri" w:cs="Calibri"/>
          <w:bCs/>
          <w:i/>
          <w:iCs/>
          <w:color w:val="222222"/>
          <w:lang w:val="pl-PL"/>
        </w:rPr>
        <w:t>analizy</w:t>
      </w:r>
      <w:r w:rsidR="0012284C" w:rsidRPr="00415AEF">
        <w:rPr>
          <w:rFonts w:ascii="Calibri" w:eastAsia="Calibri" w:hAnsi="Calibri" w:cs="Calibri"/>
          <w:bCs/>
          <w:i/>
          <w:iCs/>
          <w:color w:val="222222"/>
          <w:lang w:val="pl-PL"/>
        </w:rPr>
        <w:t xml:space="preserve"> BIG InfoMonitor, średnio na osobę przy</w:t>
      </w:r>
      <w:r w:rsidR="00BB79A6" w:rsidRPr="00415AEF">
        <w:rPr>
          <w:rFonts w:ascii="Calibri" w:eastAsia="Calibri" w:hAnsi="Calibri" w:cs="Calibri"/>
          <w:bCs/>
          <w:i/>
          <w:iCs/>
          <w:color w:val="222222"/>
          <w:lang w:val="pl-PL"/>
        </w:rPr>
        <w:t>pa</w:t>
      </w:r>
      <w:r w:rsidR="0012284C" w:rsidRPr="00415AEF">
        <w:rPr>
          <w:rFonts w:ascii="Calibri" w:eastAsia="Calibri" w:hAnsi="Calibri" w:cs="Calibri"/>
          <w:bCs/>
          <w:i/>
          <w:iCs/>
          <w:color w:val="222222"/>
          <w:lang w:val="pl-PL"/>
        </w:rPr>
        <w:t xml:space="preserve">dają dwie zaległości </w:t>
      </w:r>
      <w:r w:rsidR="00BB79A6" w:rsidRPr="00415AEF">
        <w:rPr>
          <w:rFonts w:ascii="Calibri" w:eastAsia="Calibri" w:hAnsi="Calibri" w:cs="Calibri"/>
          <w:bCs/>
          <w:i/>
          <w:iCs/>
          <w:color w:val="222222"/>
          <w:lang w:val="pl-PL"/>
        </w:rPr>
        <w:t>ubezpieczeniowe</w:t>
      </w:r>
      <w:r w:rsidR="00AC1CE0" w:rsidRPr="00415AEF">
        <w:rPr>
          <w:rFonts w:ascii="Calibri" w:eastAsia="Calibri" w:hAnsi="Calibri" w:cs="Calibri"/>
          <w:bCs/>
          <w:i/>
          <w:iCs/>
          <w:color w:val="222222"/>
          <w:lang w:val="pl-PL"/>
        </w:rPr>
        <w:t>.</w:t>
      </w:r>
      <w:r w:rsidR="00D27F28" w:rsidRPr="00415AEF">
        <w:rPr>
          <w:i/>
          <w:iCs/>
        </w:rPr>
        <w:t xml:space="preserve"> </w:t>
      </w:r>
      <w:r w:rsidR="00D27F28" w:rsidRPr="00415AEF">
        <w:rPr>
          <w:rFonts w:ascii="Calibri" w:eastAsia="Calibri" w:hAnsi="Calibri" w:cs="Calibri"/>
          <w:bCs/>
          <w:i/>
          <w:iCs/>
          <w:color w:val="222222"/>
          <w:lang w:val="pl-PL"/>
        </w:rPr>
        <w:t>Wpisani do rejestru dłużników mają głównie niezapłacone raty składek od obowiązkowych polis OC. Ich płatność może być rozłożona na raty i niestety zdarza się klientom, że po opłaceniu pierwszej nie regulują już kolejnych</w:t>
      </w:r>
      <w:r w:rsidR="00415AEF">
        <w:rPr>
          <w:rFonts w:ascii="Calibri" w:eastAsia="Calibri" w:hAnsi="Calibri" w:cs="Calibri"/>
          <w:bCs/>
          <w:color w:val="222222"/>
          <w:lang w:val="pl-PL"/>
        </w:rPr>
        <w:t xml:space="preserve"> – </w:t>
      </w:r>
      <w:r w:rsidR="00AC77D6">
        <w:rPr>
          <w:rFonts w:ascii="Calibri" w:eastAsia="Calibri" w:hAnsi="Calibri" w:cs="Calibri"/>
          <w:bCs/>
          <w:color w:val="222222"/>
          <w:lang w:val="pl-PL"/>
        </w:rPr>
        <w:t>zaznacza</w:t>
      </w:r>
      <w:r w:rsidR="00415AEF">
        <w:rPr>
          <w:rFonts w:ascii="Calibri" w:eastAsia="Calibri" w:hAnsi="Calibri" w:cs="Calibri"/>
          <w:bCs/>
          <w:color w:val="222222"/>
          <w:lang w:val="pl-PL"/>
        </w:rPr>
        <w:t xml:space="preserve"> </w:t>
      </w:r>
      <w:r w:rsidR="00415AEF" w:rsidRPr="00415AEF">
        <w:rPr>
          <w:rFonts w:ascii="Calibri" w:eastAsia="Calibri" w:hAnsi="Calibri" w:cs="Calibri"/>
          <w:b/>
          <w:color w:val="222222"/>
          <w:lang w:val="pl-PL"/>
        </w:rPr>
        <w:t>Paweł Szarkowski, prezes BIG InfoMonitor.</w:t>
      </w:r>
    </w:p>
    <w:p w14:paraId="0FDCE4EF" w14:textId="77777777" w:rsidR="001A5E2B" w:rsidRDefault="001A5E2B" w:rsidP="009540B4">
      <w:pPr>
        <w:jc w:val="both"/>
        <w:rPr>
          <w:rFonts w:ascii="Calibri" w:eastAsia="Calibri" w:hAnsi="Calibri" w:cs="Calibri"/>
          <w:bCs/>
          <w:color w:val="222222"/>
          <w:lang w:val="pl-PL"/>
        </w:rPr>
      </w:pPr>
    </w:p>
    <w:p w14:paraId="5B3A8EA9" w14:textId="32AEC2FC" w:rsidR="00F30543" w:rsidRPr="006022E9" w:rsidRDefault="00C40732" w:rsidP="00F30543">
      <w:pPr>
        <w:jc w:val="both"/>
        <w:rPr>
          <w:rFonts w:ascii="Calibri" w:eastAsia="Calibri" w:hAnsi="Calibri" w:cs="Calibri"/>
          <w:b/>
          <w:bCs/>
          <w:lang w:val="pl-PL"/>
        </w:rPr>
      </w:pPr>
      <w:r w:rsidRPr="006022E9">
        <w:rPr>
          <w:rFonts w:ascii="Calibri" w:eastAsia="Calibri" w:hAnsi="Calibri" w:cs="Calibri"/>
          <w:b/>
          <w:bCs/>
          <w:lang w:val="pl-PL"/>
        </w:rPr>
        <w:t>B</w:t>
      </w:r>
      <w:r w:rsidR="00F30543" w:rsidRPr="006022E9">
        <w:rPr>
          <w:rFonts w:ascii="Calibri" w:eastAsia="Calibri" w:hAnsi="Calibri" w:cs="Calibri"/>
          <w:b/>
          <w:bCs/>
          <w:lang w:val="pl-PL"/>
        </w:rPr>
        <w:t>ezpieczeństwo deklarowane, finansowo odkładane</w:t>
      </w:r>
    </w:p>
    <w:p w14:paraId="707FDFDB" w14:textId="77777777" w:rsidR="00F30543" w:rsidRPr="006022E9" w:rsidRDefault="00F30543" w:rsidP="00F30543">
      <w:pPr>
        <w:jc w:val="both"/>
        <w:rPr>
          <w:rFonts w:ascii="Calibri" w:eastAsia="Calibri" w:hAnsi="Calibri" w:cs="Calibri"/>
          <w:b/>
          <w:bCs/>
          <w:lang w:val="pl-PL"/>
        </w:rPr>
      </w:pPr>
    </w:p>
    <w:p w14:paraId="74BBB510" w14:textId="3CCC11BF" w:rsidR="00F30543" w:rsidRPr="006022E9" w:rsidRDefault="00F30543" w:rsidP="00F30543">
      <w:pPr>
        <w:jc w:val="both"/>
        <w:rPr>
          <w:rFonts w:ascii="Calibri" w:eastAsia="Calibri" w:hAnsi="Calibri" w:cs="Calibri"/>
          <w:lang w:val="pl-PL"/>
        </w:rPr>
      </w:pPr>
      <w:r w:rsidRPr="006022E9">
        <w:rPr>
          <w:rFonts w:ascii="Calibri" w:eastAsia="Calibri" w:hAnsi="Calibri" w:cs="Calibri"/>
          <w:lang w:val="pl-PL"/>
        </w:rPr>
        <w:t>Jak wynika z badań przeprowadzonych na potrzeby BIG InfoMonitor,</w:t>
      </w:r>
      <w:r w:rsidR="006022E9" w:rsidRPr="006022E9">
        <w:rPr>
          <w:rFonts w:ascii="Calibri" w:eastAsia="Calibri" w:hAnsi="Calibri" w:cs="Calibri"/>
          <w:lang w:val="pl-PL"/>
        </w:rPr>
        <w:t xml:space="preserve"> r</w:t>
      </w:r>
      <w:r w:rsidRPr="006022E9">
        <w:rPr>
          <w:rFonts w:ascii="Calibri" w:eastAsia="Calibri" w:hAnsi="Calibri" w:cs="Calibri"/>
          <w:lang w:val="pl-PL"/>
        </w:rPr>
        <w:t>yzyko po stronie klienta wzrasta</w:t>
      </w:r>
      <w:r w:rsidR="006022E9" w:rsidRPr="006022E9">
        <w:rPr>
          <w:rFonts w:ascii="Calibri" w:eastAsia="Calibri" w:hAnsi="Calibri" w:cs="Calibri"/>
          <w:lang w:val="pl-PL"/>
        </w:rPr>
        <w:t xml:space="preserve"> wówczas</w:t>
      </w:r>
      <w:r w:rsidRPr="006022E9">
        <w:rPr>
          <w:rFonts w:ascii="Calibri" w:eastAsia="Calibri" w:hAnsi="Calibri" w:cs="Calibri"/>
          <w:lang w:val="pl-PL"/>
        </w:rPr>
        <w:t>, gdy pojawiają się</w:t>
      </w:r>
      <w:r w:rsidR="00712813">
        <w:rPr>
          <w:rFonts w:ascii="Calibri" w:eastAsia="Calibri" w:hAnsi="Calibri" w:cs="Calibri"/>
          <w:lang w:val="pl-PL"/>
        </w:rPr>
        <w:t xml:space="preserve"> u niego</w:t>
      </w:r>
      <w:r w:rsidRPr="006022E9">
        <w:rPr>
          <w:rFonts w:ascii="Calibri" w:eastAsia="Calibri" w:hAnsi="Calibri" w:cs="Calibri"/>
          <w:lang w:val="pl-PL"/>
        </w:rPr>
        <w:t xml:space="preserve"> problemy finansowe</w:t>
      </w:r>
      <w:r w:rsidR="00B4680C">
        <w:rPr>
          <w:rFonts w:ascii="Calibri" w:eastAsia="Calibri" w:hAnsi="Calibri" w:cs="Calibri"/>
          <w:lang w:val="pl-PL"/>
        </w:rPr>
        <w:t>.</w:t>
      </w:r>
      <w:r w:rsidRPr="006022E9">
        <w:rPr>
          <w:rFonts w:ascii="Calibri" w:eastAsia="Calibri" w:hAnsi="Calibri" w:cs="Calibri"/>
          <w:lang w:val="pl-PL"/>
        </w:rPr>
        <w:t xml:space="preserve"> </w:t>
      </w:r>
      <w:r w:rsidR="00B4680C">
        <w:rPr>
          <w:rFonts w:ascii="Calibri" w:eastAsia="Calibri" w:hAnsi="Calibri" w:cs="Calibri"/>
          <w:lang w:val="pl-PL"/>
        </w:rPr>
        <w:t>W</w:t>
      </w:r>
      <w:r w:rsidRPr="006022E9">
        <w:rPr>
          <w:rFonts w:ascii="Calibri" w:eastAsia="Calibri" w:hAnsi="Calibri" w:cs="Calibri"/>
          <w:lang w:val="pl-PL"/>
        </w:rPr>
        <w:t xml:space="preserve"> takiej sytuacji niewielki odsetek osób (5 proc.) byłby skłonny zapłacić za ubezpieczenie</w:t>
      </w:r>
      <w:r w:rsidR="00B4680C">
        <w:rPr>
          <w:rFonts w:ascii="Calibri" w:eastAsia="Calibri" w:hAnsi="Calibri" w:cs="Calibri"/>
          <w:lang w:val="pl-PL"/>
        </w:rPr>
        <w:t>, podczas gdy innego rodzaju opłaty były regulowane lepiej</w:t>
      </w:r>
      <w:r w:rsidRPr="006022E9">
        <w:rPr>
          <w:rFonts w:ascii="Calibri" w:eastAsia="Calibri" w:hAnsi="Calibri" w:cs="Calibri"/>
          <w:lang w:val="pl-PL"/>
        </w:rPr>
        <w:t>. Podobnie nisko została oceniona przez Polaków potrzeba odzyskiwania tego rodzaju zobowiązań przez firmy ubezpieczeniowe (3 proc.). To sygnał ostrzegawczy dla branży.</w:t>
      </w:r>
    </w:p>
    <w:p w14:paraId="601E2537" w14:textId="77777777" w:rsidR="00F30543" w:rsidRPr="006022E9" w:rsidRDefault="00F30543" w:rsidP="00F30543">
      <w:pPr>
        <w:jc w:val="both"/>
        <w:rPr>
          <w:rFonts w:ascii="Calibri" w:eastAsia="Calibri" w:hAnsi="Calibri" w:cs="Calibri"/>
          <w:lang w:val="pl-PL"/>
        </w:rPr>
      </w:pPr>
    </w:p>
    <w:p w14:paraId="7F86994D" w14:textId="77E5A99D" w:rsidR="00F30543" w:rsidRPr="006022E9" w:rsidRDefault="00F30543" w:rsidP="00F30543">
      <w:pPr>
        <w:jc w:val="both"/>
        <w:rPr>
          <w:rFonts w:ascii="Calibri" w:eastAsia="Calibri" w:hAnsi="Calibri" w:cs="Calibri"/>
          <w:b/>
          <w:bCs/>
          <w:lang w:val="pl-PL"/>
        </w:rPr>
      </w:pPr>
      <w:r w:rsidRPr="006022E9">
        <w:rPr>
          <w:rFonts w:ascii="Calibri" w:eastAsia="Calibri" w:hAnsi="Calibri" w:cs="Calibri"/>
          <w:lang w:val="pl-PL"/>
        </w:rPr>
        <w:t xml:space="preserve"> - </w:t>
      </w:r>
      <w:r w:rsidR="00AB267E" w:rsidRPr="006022E9">
        <w:rPr>
          <w:rFonts w:ascii="Calibri" w:eastAsia="Calibri" w:hAnsi="Calibri" w:cs="Calibri"/>
          <w:i/>
          <w:iCs/>
          <w:lang w:val="pl-PL"/>
        </w:rPr>
        <w:t>Polacy z</w:t>
      </w:r>
      <w:r w:rsidRPr="006022E9">
        <w:rPr>
          <w:rFonts w:ascii="Calibri" w:eastAsia="Calibri" w:hAnsi="Calibri" w:cs="Calibri"/>
          <w:i/>
          <w:iCs/>
          <w:lang w:val="pl-PL"/>
        </w:rPr>
        <w:t xml:space="preserve"> jednej strony chcą się zabezpieczać przed ryzykiem zdrowotnym, majątkowym czy podróżnym, ale nie zawsze są w stanie regularnie opłacać ochronę, którą wybierają. To pokazuje, że popyt na ochronę finansową rośnie szybciej niż realna zdolność do jej finansowania.</w:t>
      </w:r>
      <w:r w:rsidRPr="006022E9">
        <w:rPr>
          <w:i/>
          <w:iCs/>
        </w:rPr>
        <w:t xml:space="preserve"> </w:t>
      </w:r>
      <w:r w:rsidRPr="006022E9">
        <w:rPr>
          <w:rFonts w:ascii="Calibri" w:eastAsia="Calibri" w:hAnsi="Calibri" w:cs="Calibri"/>
          <w:i/>
          <w:iCs/>
          <w:lang w:val="pl-PL"/>
        </w:rPr>
        <w:t>3</w:t>
      </w:r>
      <w:r w:rsidR="005E6668">
        <w:rPr>
          <w:rFonts w:ascii="Calibri" w:eastAsia="Calibri" w:hAnsi="Calibri" w:cs="Calibri"/>
          <w:i/>
          <w:iCs/>
          <w:lang w:val="pl-PL"/>
        </w:rPr>
        <w:t>37</w:t>
      </w:r>
      <w:r w:rsidRPr="006022E9">
        <w:rPr>
          <w:rFonts w:ascii="Calibri" w:eastAsia="Calibri" w:hAnsi="Calibri" w:cs="Calibri"/>
          <w:i/>
          <w:iCs/>
          <w:lang w:val="pl-PL"/>
        </w:rPr>
        <w:t xml:space="preserve"> mln zł zaległości to sygnał ostrzegawczy dla rynku. Najwyższy poziom zadłużenia od początku monitoringu </w:t>
      </w:r>
      <w:r w:rsidRPr="006022E9">
        <w:rPr>
          <w:rFonts w:ascii="Calibri" w:eastAsia="Calibri" w:hAnsi="Calibri" w:cs="Calibri"/>
          <w:i/>
          <w:iCs/>
          <w:lang w:val="pl-PL"/>
        </w:rPr>
        <w:lastRenderedPageBreak/>
        <w:t xml:space="preserve">wskazuje, że dobra koniunktura w ubezpieczeniach ma swoje drugie dno i może rodzić ryzyka po stronie </w:t>
      </w:r>
      <w:r w:rsidR="006022E9" w:rsidRPr="006022E9">
        <w:rPr>
          <w:rFonts w:ascii="Calibri" w:eastAsia="Calibri" w:hAnsi="Calibri" w:cs="Calibri"/>
          <w:i/>
          <w:iCs/>
          <w:lang w:val="pl-PL"/>
        </w:rPr>
        <w:t>wiarygodności</w:t>
      </w:r>
      <w:r w:rsidRPr="006022E9">
        <w:rPr>
          <w:rFonts w:ascii="Calibri" w:eastAsia="Calibri" w:hAnsi="Calibri" w:cs="Calibri"/>
          <w:i/>
          <w:iCs/>
          <w:lang w:val="pl-PL"/>
        </w:rPr>
        <w:t xml:space="preserve"> finansowej klientów</w:t>
      </w:r>
      <w:r w:rsidRPr="006022E9">
        <w:rPr>
          <w:rFonts w:ascii="Calibri" w:eastAsia="Calibri" w:hAnsi="Calibri" w:cs="Calibri"/>
          <w:lang w:val="pl-PL"/>
        </w:rPr>
        <w:t xml:space="preserve"> – podkreśla </w:t>
      </w:r>
      <w:r w:rsidRPr="006022E9">
        <w:rPr>
          <w:rFonts w:ascii="Calibri" w:eastAsia="Calibri" w:hAnsi="Calibri" w:cs="Calibri"/>
          <w:b/>
          <w:bCs/>
          <w:lang w:val="pl-PL"/>
        </w:rPr>
        <w:t>Paweł Szarkowski, prezes BIG InfoMonitor.</w:t>
      </w:r>
    </w:p>
    <w:p w14:paraId="5D7F2E2F" w14:textId="77777777" w:rsidR="00F30543" w:rsidRPr="006022E9" w:rsidRDefault="00F30543" w:rsidP="009540B4">
      <w:pPr>
        <w:jc w:val="both"/>
        <w:rPr>
          <w:rFonts w:ascii="Calibri" w:eastAsia="Calibri" w:hAnsi="Calibri" w:cs="Calibri"/>
          <w:b/>
          <w:color w:val="222222"/>
          <w:lang w:val="pl-PL"/>
        </w:rPr>
      </w:pPr>
    </w:p>
    <w:p w14:paraId="4EA98277" w14:textId="35A153FB" w:rsidR="009540B4" w:rsidRDefault="009540B4" w:rsidP="009540B4">
      <w:pPr>
        <w:jc w:val="both"/>
        <w:rPr>
          <w:rFonts w:ascii="Calibri" w:eastAsia="Calibri" w:hAnsi="Calibri" w:cs="Calibri"/>
          <w:b/>
          <w:bCs/>
          <w:color w:val="222222"/>
          <w:lang w:val="pl-PL"/>
        </w:rPr>
      </w:pPr>
      <w:r w:rsidRPr="009540B4">
        <w:rPr>
          <w:rFonts w:ascii="Calibri" w:eastAsia="Calibri" w:hAnsi="Calibri" w:cs="Calibri"/>
          <w:b/>
          <w:bCs/>
          <w:color w:val="222222"/>
          <w:lang w:val="pl-PL"/>
        </w:rPr>
        <w:t>Odpowiedzialność</w:t>
      </w:r>
      <w:r w:rsidR="006022E9">
        <w:rPr>
          <w:rFonts w:ascii="Calibri" w:eastAsia="Calibri" w:hAnsi="Calibri" w:cs="Calibri"/>
          <w:b/>
          <w:bCs/>
          <w:color w:val="222222"/>
          <w:lang w:val="pl-PL"/>
        </w:rPr>
        <w:t xml:space="preserve"> i wiarygodność</w:t>
      </w:r>
      <w:r w:rsidRPr="009540B4">
        <w:rPr>
          <w:rFonts w:ascii="Calibri" w:eastAsia="Calibri" w:hAnsi="Calibri" w:cs="Calibri"/>
          <w:b/>
          <w:bCs/>
          <w:color w:val="222222"/>
          <w:lang w:val="pl-PL"/>
        </w:rPr>
        <w:t xml:space="preserve"> po obu stronach</w:t>
      </w:r>
    </w:p>
    <w:p w14:paraId="3982B023" w14:textId="77777777" w:rsidR="009540B4" w:rsidRPr="009540B4" w:rsidRDefault="009540B4" w:rsidP="009540B4">
      <w:pPr>
        <w:jc w:val="both"/>
        <w:rPr>
          <w:rFonts w:ascii="Calibri" w:eastAsia="Calibri" w:hAnsi="Calibri" w:cs="Calibri"/>
          <w:b/>
          <w:bCs/>
          <w:color w:val="222222"/>
          <w:lang w:val="pl-PL"/>
        </w:rPr>
      </w:pPr>
    </w:p>
    <w:p w14:paraId="6415D764" w14:textId="0B7A9CFF" w:rsidR="009540B4" w:rsidRDefault="009540B4" w:rsidP="009540B4">
      <w:pPr>
        <w:jc w:val="both"/>
        <w:rPr>
          <w:rFonts w:ascii="Calibri" w:eastAsia="Calibri" w:hAnsi="Calibri" w:cs="Calibri"/>
          <w:bCs/>
          <w:color w:val="222222"/>
          <w:lang w:val="pl-PL"/>
        </w:rPr>
      </w:pPr>
      <w:r w:rsidRPr="009540B4">
        <w:rPr>
          <w:rFonts w:ascii="Calibri" w:eastAsia="Calibri" w:hAnsi="Calibri" w:cs="Calibri"/>
          <w:bCs/>
          <w:color w:val="222222"/>
          <w:lang w:val="pl-PL"/>
        </w:rPr>
        <w:t xml:space="preserve">Skala problemu wymaga szerszej refleksji – zarówno ze strony klientów, jak i sektora </w:t>
      </w:r>
      <w:r w:rsidR="00F84CDE" w:rsidRPr="009540B4">
        <w:rPr>
          <w:rFonts w:ascii="Calibri" w:eastAsia="Calibri" w:hAnsi="Calibri" w:cs="Calibri"/>
          <w:bCs/>
          <w:color w:val="222222"/>
          <w:lang w:val="pl-PL"/>
        </w:rPr>
        <w:t>ubezpiecze</w:t>
      </w:r>
      <w:r w:rsidR="00F84CDE">
        <w:rPr>
          <w:rFonts w:ascii="Calibri" w:eastAsia="Calibri" w:hAnsi="Calibri" w:cs="Calibri"/>
          <w:bCs/>
          <w:color w:val="222222"/>
          <w:lang w:val="pl-PL"/>
        </w:rPr>
        <w:t>niowego</w:t>
      </w:r>
      <w:r w:rsidRPr="009540B4">
        <w:rPr>
          <w:rFonts w:ascii="Calibri" w:eastAsia="Calibri" w:hAnsi="Calibri" w:cs="Calibri"/>
          <w:bCs/>
          <w:color w:val="222222"/>
          <w:lang w:val="pl-PL"/>
        </w:rPr>
        <w:t xml:space="preserve">. Polacy chętnie się ubezpieczają, ale zbyt często traktują składki jako koszty drugiego rzędu. Dla branży oznacza to konieczność nie tylko zarządzania rosnącym portfelem </w:t>
      </w:r>
      <w:r w:rsidR="006022E9">
        <w:rPr>
          <w:rFonts w:ascii="Calibri" w:eastAsia="Calibri" w:hAnsi="Calibri" w:cs="Calibri"/>
          <w:bCs/>
          <w:color w:val="222222"/>
          <w:lang w:val="pl-PL"/>
        </w:rPr>
        <w:t>klientów</w:t>
      </w:r>
      <w:r w:rsidRPr="009540B4">
        <w:rPr>
          <w:rFonts w:ascii="Calibri" w:eastAsia="Calibri" w:hAnsi="Calibri" w:cs="Calibri"/>
          <w:bCs/>
          <w:color w:val="222222"/>
          <w:lang w:val="pl-PL"/>
        </w:rPr>
        <w:t xml:space="preserve">, ale również ryzykiem </w:t>
      </w:r>
      <w:r w:rsidR="0051349F">
        <w:rPr>
          <w:rFonts w:ascii="Calibri" w:eastAsia="Calibri" w:hAnsi="Calibri" w:cs="Calibri"/>
          <w:bCs/>
          <w:color w:val="222222"/>
          <w:lang w:val="pl-PL"/>
        </w:rPr>
        <w:t>niewypłacalno</w:t>
      </w:r>
      <w:r w:rsidR="001C4F4D">
        <w:rPr>
          <w:rFonts w:ascii="Calibri" w:eastAsia="Calibri" w:hAnsi="Calibri" w:cs="Calibri"/>
          <w:bCs/>
          <w:color w:val="222222"/>
          <w:lang w:val="pl-PL"/>
        </w:rPr>
        <w:t>ści</w:t>
      </w:r>
      <w:r w:rsidR="007C5D3E">
        <w:rPr>
          <w:rFonts w:ascii="Calibri" w:eastAsia="Calibri" w:hAnsi="Calibri" w:cs="Calibri"/>
          <w:bCs/>
          <w:color w:val="222222"/>
          <w:lang w:val="pl-PL"/>
        </w:rPr>
        <w:t>.</w:t>
      </w:r>
      <w:r w:rsidR="006022E9" w:rsidRPr="006022E9">
        <w:t xml:space="preserve"> </w:t>
      </w:r>
      <w:r w:rsidR="006022E9" w:rsidRPr="006022E9">
        <w:rPr>
          <w:rFonts w:ascii="Calibri" w:eastAsia="Calibri" w:hAnsi="Calibri" w:cs="Calibri"/>
          <w:bCs/>
          <w:color w:val="222222"/>
          <w:lang w:val="pl-PL"/>
        </w:rPr>
        <w:t>Równie poważnym problemem są przestępstwa związane z kradzieżą tożsamości. Oszuści podszywają się pod osoby zmarłe lub te, którym skradziono dokumenty i dane osobowe. Aby im zapobiec, towarzystwa sięgają po narzędzia, które zapewniają szybką weryfikację klienta.</w:t>
      </w:r>
    </w:p>
    <w:p w14:paraId="23F881F0" w14:textId="77777777" w:rsidR="00D23F23" w:rsidRDefault="00D23F23" w:rsidP="009540B4">
      <w:pPr>
        <w:jc w:val="both"/>
        <w:rPr>
          <w:rFonts w:ascii="Calibri" w:eastAsia="Calibri" w:hAnsi="Calibri" w:cs="Calibri"/>
          <w:bCs/>
          <w:color w:val="222222"/>
          <w:lang w:val="pl-PL"/>
        </w:rPr>
      </w:pPr>
    </w:p>
    <w:p w14:paraId="24CDB6E6" w14:textId="2942B8EC" w:rsidR="006022E9" w:rsidRPr="006022E9" w:rsidRDefault="006022E9" w:rsidP="009540B4">
      <w:pPr>
        <w:jc w:val="both"/>
        <w:rPr>
          <w:rFonts w:ascii="Calibri" w:eastAsia="Calibri" w:hAnsi="Calibri" w:cs="Calibri"/>
          <w:bCs/>
          <w:i/>
          <w:iCs/>
          <w:color w:val="222222"/>
          <w:lang w:val="pl-PL"/>
        </w:rPr>
      </w:pPr>
      <w:r>
        <w:rPr>
          <w:rFonts w:ascii="Calibri" w:eastAsia="Calibri" w:hAnsi="Calibri" w:cs="Calibri"/>
          <w:bCs/>
          <w:color w:val="222222"/>
          <w:lang w:val="pl-PL"/>
        </w:rPr>
        <w:t xml:space="preserve"> - </w:t>
      </w:r>
      <w:r w:rsidRPr="006022E9">
        <w:rPr>
          <w:rFonts w:ascii="Calibri" w:eastAsia="Calibri" w:hAnsi="Calibri" w:cs="Calibri"/>
          <w:bCs/>
          <w:i/>
          <w:iCs/>
          <w:color w:val="222222"/>
          <w:lang w:val="pl-PL"/>
        </w:rPr>
        <w:t xml:space="preserve">Wiarygodność klienta w sektorze ubezpieczeniowym to pojęcie wielowymiarowe. Obejmuje zarówno proces weryfikacji tożsamości osoby zgłaszającej szkodę, jak i analizę ryzyka ubezpieczeniowego. W obu tych obszarach coraz większe znaczenie mają </w:t>
      </w:r>
      <w:r w:rsidR="00F8758D">
        <w:rPr>
          <w:rFonts w:ascii="Calibri" w:eastAsia="Calibri" w:hAnsi="Calibri" w:cs="Calibri"/>
          <w:bCs/>
          <w:i/>
          <w:iCs/>
          <w:color w:val="222222"/>
          <w:lang w:val="pl-PL"/>
        </w:rPr>
        <w:t xml:space="preserve">usługi </w:t>
      </w:r>
      <w:r w:rsidRPr="006022E9">
        <w:rPr>
          <w:rFonts w:ascii="Calibri" w:eastAsia="Calibri" w:hAnsi="Calibri" w:cs="Calibri"/>
          <w:bCs/>
          <w:i/>
          <w:iCs/>
          <w:color w:val="222222"/>
          <w:lang w:val="pl-PL"/>
        </w:rPr>
        <w:t>da</w:t>
      </w:r>
      <w:r w:rsidR="00F8758D">
        <w:rPr>
          <w:rFonts w:ascii="Calibri" w:eastAsia="Calibri" w:hAnsi="Calibri" w:cs="Calibri"/>
          <w:bCs/>
          <w:i/>
          <w:iCs/>
          <w:color w:val="222222"/>
          <w:lang w:val="pl-PL"/>
        </w:rPr>
        <w:t>jące</w:t>
      </w:r>
      <w:r w:rsidRPr="006022E9">
        <w:rPr>
          <w:rFonts w:ascii="Calibri" w:eastAsia="Calibri" w:hAnsi="Calibri" w:cs="Calibri"/>
          <w:bCs/>
          <w:i/>
          <w:iCs/>
          <w:color w:val="222222"/>
          <w:lang w:val="pl-PL"/>
        </w:rPr>
        <w:t xml:space="preserve"> możliw</w:t>
      </w:r>
      <w:r w:rsidR="00F8758D">
        <w:rPr>
          <w:rFonts w:ascii="Calibri" w:eastAsia="Calibri" w:hAnsi="Calibri" w:cs="Calibri"/>
          <w:bCs/>
          <w:i/>
          <w:iCs/>
          <w:color w:val="222222"/>
          <w:lang w:val="pl-PL"/>
        </w:rPr>
        <w:t>ość</w:t>
      </w:r>
      <w:r w:rsidRPr="006022E9">
        <w:rPr>
          <w:rFonts w:ascii="Calibri" w:eastAsia="Calibri" w:hAnsi="Calibri" w:cs="Calibri"/>
          <w:bCs/>
          <w:i/>
          <w:iCs/>
          <w:color w:val="222222"/>
          <w:lang w:val="pl-PL"/>
        </w:rPr>
        <w:t xml:space="preserve"> </w:t>
      </w:r>
      <w:r w:rsidR="00F8758D">
        <w:rPr>
          <w:rFonts w:ascii="Calibri" w:eastAsia="Calibri" w:hAnsi="Calibri" w:cs="Calibri"/>
          <w:bCs/>
          <w:i/>
          <w:iCs/>
          <w:color w:val="222222"/>
          <w:lang w:val="pl-PL"/>
        </w:rPr>
        <w:t xml:space="preserve">weryfikacji danych </w:t>
      </w:r>
      <w:r w:rsidRPr="006022E9">
        <w:rPr>
          <w:rFonts w:ascii="Calibri" w:eastAsia="Calibri" w:hAnsi="Calibri" w:cs="Calibri"/>
          <w:bCs/>
          <w:i/>
          <w:iCs/>
          <w:color w:val="222222"/>
          <w:lang w:val="pl-PL"/>
        </w:rPr>
        <w:t xml:space="preserve">na poszczególnych etapach </w:t>
      </w:r>
      <w:r w:rsidR="00F8758D">
        <w:rPr>
          <w:rFonts w:ascii="Calibri" w:eastAsia="Calibri" w:hAnsi="Calibri" w:cs="Calibri"/>
          <w:bCs/>
          <w:i/>
          <w:iCs/>
          <w:color w:val="222222"/>
          <w:lang w:val="pl-PL"/>
        </w:rPr>
        <w:t>relacji z klientem</w:t>
      </w:r>
      <w:r w:rsidR="00F8758D">
        <w:rPr>
          <w:rFonts w:ascii="Calibri" w:eastAsia="Calibri" w:hAnsi="Calibri" w:cs="Calibri"/>
          <w:bCs/>
          <w:color w:val="222222"/>
          <w:lang w:val="pl-PL"/>
        </w:rPr>
        <w:t xml:space="preserve"> </w:t>
      </w:r>
      <w:r>
        <w:rPr>
          <w:rFonts w:ascii="Calibri" w:eastAsia="Calibri" w:hAnsi="Calibri" w:cs="Calibri"/>
          <w:bCs/>
          <w:color w:val="222222"/>
          <w:lang w:val="pl-PL"/>
        </w:rPr>
        <w:t xml:space="preserve">– </w:t>
      </w:r>
      <w:r w:rsidR="00C819FE">
        <w:rPr>
          <w:rFonts w:ascii="Calibri" w:eastAsia="Calibri" w:hAnsi="Calibri" w:cs="Calibri"/>
          <w:bCs/>
          <w:color w:val="222222"/>
          <w:lang w:val="pl-PL"/>
        </w:rPr>
        <w:t>wskazuje</w:t>
      </w:r>
      <w:r>
        <w:rPr>
          <w:rFonts w:ascii="Calibri" w:eastAsia="Calibri" w:hAnsi="Calibri" w:cs="Calibri"/>
          <w:bCs/>
          <w:color w:val="222222"/>
          <w:lang w:val="pl-PL"/>
        </w:rPr>
        <w:t xml:space="preserve"> </w:t>
      </w:r>
      <w:r w:rsidRPr="006022E9">
        <w:rPr>
          <w:rFonts w:ascii="Calibri" w:eastAsia="Calibri" w:hAnsi="Calibri" w:cs="Calibri"/>
          <w:b/>
          <w:color w:val="222222"/>
          <w:lang w:val="pl-PL"/>
        </w:rPr>
        <w:t>Sylwia Nowak, ekspert</w:t>
      </w:r>
      <w:r w:rsidR="00AB267E">
        <w:rPr>
          <w:rFonts w:ascii="Calibri" w:eastAsia="Calibri" w:hAnsi="Calibri" w:cs="Calibri"/>
          <w:b/>
          <w:color w:val="222222"/>
          <w:lang w:val="pl-PL"/>
        </w:rPr>
        <w:t>k</w:t>
      </w:r>
      <w:r w:rsidRPr="006022E9">
        <w:rPr>
          <w:rFonts w:ascii="Calibri" w:eastAsia="Calibri" w:hAnsi="Calibri" w:cs="Calibri"/>
          <w:b/>
          <w:color w:val="222222"/>
          <w:lang w:val="pl-PL"/>
        </w:rPr>
        <w:t>a w Grupie BIK</w:t>
      </w:r>
      <w:r>
        <w:rPr>
          <w:rFonts w:ascii="Calibri" w:eastAsia="Calibri" w:hAnsi="Calibri" w:cs="Calibri"/>
          <w:bCs/>
          <w:color w:val="222222"/>
          <w:lang w:val="pl-PL"/>
        </w:rPr>
        <w:t xml:space="preserve">. - </w:t>
      </w:r>
      <w:r w:rsidRPr="006022E9">
        <w:rPr>
          <w:rFonts w:ascii="Calibri" w:eastAsia="Calibri" w:hAnsi="Calibri" w:cs="Calibri"/>
          <w:bCs/>
          <w:i/>
          <w:iCs/>
          <w:color w:val="222222"/>
          <w:lang w:val="pl-PL"/>
        </w:rPr>
        <w:t>Fraud ubezpieczeniowy to problem, z którym branża mierzy się od lat, jednak dziś przybiera on nową skalę i coraz bardziej wyrafinowane formy. Przestępcy sięgają po nowoczesne technologie, w tym sztuczną inteligencję, by wyłudzać odszkodowania na etapie likwidacji szkód. Przykładem są zmanipulowane lub całkowicie sfabrykowane zdjęcia generowane przez AI, które mają zawyżyć wartość szkody lub stworzyć ją od zera</w:t>
      </w:r>
      <w:r>
        <w:rPr>
          <w:rFonts w:ascii="Calibri" w:eastAsia="Calibri" w:hAnsi="Calibri" w:cs="Calibri"/>
          <w:bCs/>
          <w:i/>
          <w:iCs/>
          <w:color w:val="222222"/>
          <w:lang w:val="pl-PL"/>
        </w:rPr>
        <w:t xml:space="preserve"> </w:t>
      </w:r>
      <w:r w:rsidRPr="006022E9">
        <w:rPr>
          <w:rFonts w:ascii="Calibri" w:eastAsia="Calibri" w:hAnsi="Calibri" w:cs="Calibri"/>
          <w:bCs/>
          <w:color w:val="222222"/>
          <w:lang w:val="pl-PL"/>
        </w:rPr>
        <w:t>– dodaje.</w:t>
      </w:r>
    </w:p>
    <w:p w14:paraId="6841CB90" w14:textId="77777777" w:rsidR="001A5E2B" w:rsidRPr="001A5E2B" w:rsidRDefault="001A5E2B" w:rsidP="001A5E2B">
      <w:pPr>
        <w:jc w:val="both"/>
        <w:rPr>
          <w:rFonts w:ascii="Calibri" w:eastAsia="Calibri" w:hAnsi="Calibri" w:cs="Calibri"/>
          <w:bCs/>
          <w:color w:val="222222"/>
          <w:lang w:val="pl-PL"/>
        </w:rPr>
      </w:pPr>
    </w:p>
    <w:p w14:paraId="09624A86" w14:textId="56E57A82" w:rsidR="001A5E2B" w:rsidRDefault="001A5E2B" w:rsidP="001A5E2B">
      <w:pPr>
        <w:jc w:val="both"/>
        <w:rPr>
          <w:rFonts w:ascii="Calibri" w:eastAsia="Calibri" w:hAnsi="Calibri" w:cs="Calibri"/>
          <w:bCs/>
          <w:color w:val="222222"/>
          <w:lang w:val="pl-PL"/>
        </w:rPr>
      </w:pPr>
      <w:r w:rsidRPr="001A5E2B">
        <w:rPr>
          <w:rFonts w:ascii="Calibri" w:eastAsia="Calibri" w:hAnsi="Calibri" w:cs="Calibri"/>
          <w:bCs/>
          <w:color w:val="222222"/>
          <w:lang w:val="pl-PL"/>
        </w:rPr>
        <w:t>Kradzież tożsamości staje się problemem przy zawieraniu ubezpieczeń, jak również na etapie wypłaty świadczeń – zwłaszcza w dobie coraz większej cyfryzacji dokumentów. Wyłudzeniom ubezpieczeniowym można jednak łatwo zapobiec – kluczowe jest rzetelne sprawdzenie tożsamości klienta zgłaszającego się np. po wypłatę świadczenia. Samo obejrzenie przez pracownika biura obsługi klienta dowodu osobistego przestało być wystarczające. Przed podjęciem działań ubezpieczyciel musi się upewnić, czy dana osoba</w:t>
      </w:r>
      <w:r>
        <w:rPr>
          <w:rFonts w:ascii="Calibri" w:eastAsia="Calibri" w:hAnsi="Calibri" w:cs="Calibri"/>
          <w:bCs/>
          <w:color w:val="222222"/>
          <w:lang w:val="pl-PL"/>
        </w:rPr>
        <w:t xml:space="preserve"> </w:t>
      </w:r>
      <w:r w:rsidRPr="001A5E2B">
        <w:rPr>
          <w:rFonts w:ascii="Calibri" w:eastAsia="Calibri" w:hAnsi="Calibri" w:cs="Calibri"/>
          <w:bCs/>
          <w:color w:val="222222"/>
          <w:lang w:val="pl-PL"/>
        </w:rPr>
        <w:t xml:space="preserve">na pewno </w:t>
      </w:r>
      <w:r w:rsidR="00AB267E" w:rsidRPr="001A5E2B">
        <w:rPr>
          <w:rFonts w:ascii="Calibri" w:eastAsia="Calibri" w:hAnsi="Calibri" w:cs="Calibri"/>
          <w:bCs/>
          <w:color w:val="222222"/>
          <w:lang w:val="pl-PL"/>
        </w:rPr>
        <w:t>żyje</w:t>
      </w:r>
      <w:r w:rsidR="00AB267E">
        <w:rPr>
          <w:rFonts w:ascii="Calibri" w:eastAsia="Calibri" w:hAnsi="Calibri" w:cs="Calibri"/>
          <w:bCs/>
          <w:color w:val="222222"/>
          <w:lang w:val="pl-PL"/>
        </w:rPr>
        <w:t xml:space="preserve">, </w:t>
      </w:r>
      <w:r w:rsidR="00AB267E" w:rsidRPr="001A5E2B">
        <w:rPr>
          <w:rFonts w:ascii="Calibri" w:eastAsia="Calibri" w:hAnsi="Calibri" w:cs="Calibri"/>
          <w:bCs/>
          <w:color w:val="222222"/>
          <w:lang w:val="pl-PL"/>
        </w:rPr>
        <w:t>legitymuje</w:t>
      </w:r>
      <w:r w:rsidRPr="001A5E2B">
        <w:rPr>
          <w:rFonts w:ascii="Calibri" w:eastAsia="Calibri" w:hAnsi="Calibri" w:cs="Calibri"/>
          <w:bCs/>
          <w:color w:val="222222"/>
          <w:lang w:val="pl-PL"/>
        </w:rPr>
        <w:t xml:space="preserve"> się prawdziwym i poprawnym dokumentem tożsamości</w:t>
      </w:r>
      <w:r w:rsidR="006022E9">
        <w:rPr>
          <w:rFonts w:ascii="Calibri" w:eastAsia="Calibri" w:hAnsi="Calibri" w:cs="Calibri"/>
          <w:bCs/>
          <w:color w:val="222222"/>
          <w:lang w:val="pl-PL"/>
        </w:rPr>
        <w:t xml:space="preserve"> i</w:t>
      </w:r>
      <w:r>
        <w:rPr>
          <w:rFonts w:ascii="Calibri" w:eastAsia="Calibri" w:hAnsi="Calibri" w:cs="Calibri"/>
          <w:bCs/>
          <w:color w:val="222222"/>
          <w:lang w:val="pl-PL"/>
        </w:rPr>
        <w:t xml:space="preserve"> </w:t>
      </w:r>
      <w:r w:rsidRPr="001A5E2B">
        <w:rPr>
          <w:rFonts w:ascii="Calibri" w:eastAsia="Calibri" w:hAnsi="Calibri" w:cs="Calibri"/>
          <w:bCs/>
          <w:color w:val="222222"/>
          <w:lang w:val="pl-PL"/>
        </w:rPr>
        <w:t>ma prawo na jego podstawie dokonywać czynności prawnych.</w:t>
      </w:r>
    </w:p>
    <w:p w14:paraId="20B3C456" w14:textId="77777777" w:rsidR="001A5E2B" w:rsidRPr="001A5E2B" w:rsidRDefault="001A5E2B" w:rsidP="001A5E2B">
      <w:pPr>
        <w:jc w:val="both"/>
        <w:rPr>
          <w:rFonts w:ascii="Calibri" w:eastAsia="Calibri" w:hAnsi="Calibri" w:cs="Calibri"/>
          <w:bCs/>
          <w:color w:val="222222"/>
          <w:lang w:val="pl-PL"/>
        </w:rPr>
      </w:pPr>
    </w:p>
    <w:p w14:paraId="2587BE3E" w14:textId="28831915" w:rsidR="001A5E2B" w:rsidRDefault="001A5E2B" w:rsidP="001A5E2B">
      <w:pPr>
        <w:jc w:val="both"/>
        <w:rPr>
          <w:rFonts w:ascii="Calibri" w:eastAsia="Calibri" w:hAnsi="Calibri" w:cs="Calibri"/>
          <w:bCs/>
          <w:color w:val="222222"/>
          <w:lang w:val="pl-PL"/>
        </w:rPr>
      </w:pPr>
      <w:r w:rsidRPr="006022E9">
        <w:rPr>
          <w:rFonts w:ascii="Calibri" w:eastAsia="Calibri" w:hAnsi="Calibri" w:cs="Calibri"/>
          <w:bCs/>
          <w:color w:val="222222"/>
          <w:lang w:val="pl-PL"/>
        </w:rPr>
        <w:t xml:space="preserve">W tym celu konieczna jest weryfikacja w </w:t>
      </w:r>
      <w:r w:rsidR="0060312B">
        <w:rPr>
          <w:rFonts w:ascii="Calibri" w:eastAsia="Calibri" w:hAnsi="Calibri" w:cs="Calibri"/>
          <w:bCs/>
          <w:color w:val="222222"/>
          <w:lang w:val="pl-PL"/>
        </w:rPr>
        <w:t>kliku kluczowych</w:t>
      </w:r>
      <w:r w:rsidRPr="006022E9">
        <w:rPr>
          <w:rFonts w:ascii="Calibri" w:eastAsia="Calibri" w:hAnsi="Calibri" w:cs="Calibri"/>
          <w:bCs/>
          <w:color w:val="222222"/>
          <w:lang w:val="pl-PL"/>
        </w:rPr>
        <w:t xml:space="preserve"> źródłach</w:t>
      </w:r>
      <w:r w:rsidR="0060312B">
        <w:rPr>
          <w:rFonts w:ascii="Calibri" w:eastAsia="Calibri" w:hAnsi="Calibri" w:cs="Calibri"/>
          <w:bCs/>
          <w:color w:val="222222"/>
          <w:lang w:val="pl-PL"/>
        </w:rPr>
        <w:t xml:space="preserve">. </w:t>
      </w:r>
      <w:r w:rsidRPr="006022E9">
        <w:rPr>
          <w:rFonts w:ascii="Calibri" w:eastAsia="Calibri" w:hAnsi="Calibri" w:cs="Calibri"/>
          <w:bCs/>
          <w:color w:val="222222"/>
          <w:lang w:val="pl-PL"/>
        </w:rPr>
        <w:t>Im więcej narzędzi do weryfikacji informacji zostanie zastosowanych, tym większe szanse na wykrycie potencjalnych fraudów oraz innych sytuacji, które mogą być problematyczne z perspektywy ubezpieczyciela. Wystarczy wspomnieć o ryzykach związanych z zawarciem umowy z firmą znajdującą się na liście sankcyjnej (grozi to grzywną do 20 mln zł) czy utrudnieniach w windykacji rat za ubezpieczenie OC od nierzetelnego klienta indywidualnego. Ryzyko takich sytuacji można z łatwością zminimalizować.</w:t>
      </w:r>
    </w:p>
    <w:p w14:paraId="21B64A05" w14:textId="77777777" w:rsidR="001A5E2B" w:rsidRDefault="001A5E2B" w:rsidP="001A5E2B">
      <w:pPr>
        <w:jc w:val="both"/>
        <w:rPr>
          <w:rFonts w:ascii="Calibri" w:eastAsia="Calibri" w:hAnsi="Calibri" w:cs="Calibri"/>
          <w:bCs/>
          <w:color w:val="222222"/>
          <w:lang w:val="pl-PL"/>
        </w:rPr>
      </w:pPr>
    </w:p>
    <w:p w14:paraId="0A8704E4" w14:textId="48E04095" w:rsidR="001A5E2B" w:rsidRDefault="006022E9" w:rsidP="001A5E2B">
      <w:pPr>
        <w:jc w:val="both"/>
        <w:rPr>
          <w:rFonts w:ascii="Calibri" w:eastAsia="Calibri" w:hAnsi="Calibri" w:cs="Calibri"/>
          <w:b/>
          <w:color w:val="222222"/>
          <w:lang w:val="pl-PL"/>
        </w:rPr>
      </w:pPr>
      <w:r>
        <w:rPr>
          <w:rFonts w:ascii="Calibri" w:eastAsia="Calibri" w:hAnsi="Calibri" w:cs="Calibri"/>
          <w:bCs/>
          <w:color w:val="222222"/>
          <w:lang w:val="pl-PL"/>
        </w:rPr>
        <w:t xml:space="preserve"> - </w:t>
      </w:r>
      <w:r w:rsidR="001A5E2B" w:rsidRPr="006022E9">
        <w:rPr>
          <w:rFonts w:ascii="Calibri" w:eastAsia="Calibri" w:hAnsi="Calibri" w:cs="Calibri"/>
          <w:bCs/>
          <w:i/>
          <w:iCs/>
          <w:color w:val="222222"/>
          <w:lang w:val="pl-PL"/>
        </w:rPr>
        <w:t>Rozwiązaniem jest automatyzacja tego procesu np. dzięki współpracy z BIG InfoMonitor</w:t>
      </w:r>
      <w:r w:rsidRPr="006022E9">
        <w:rPr>
          <w:rFonts w:ascii="Calibri" w:eastAsia="Calibri" w:hAnsi="Calibri" w:cs="Calibri"/>
          <w:bCs/>
          <w:i/>
          <w:iCs/>
          <w:color w:val="222222"/>
          <w:lang w:val="pl-PL"/>
        </w:rPr>
        <w:t xml:space="preserve"> i BIK</w:t>
      </w:r>
      <w:r w:rsidR="001A5E2B" w:rsidRPr="006022E9">
        <w:rPr>
          <w:rFonts w:ascii="Calibri" w:eastAsia="Calibri" w:hAnsi="Calibri" w:cs="Calibri"/>
          <w:bCs/>
          <w:i/>
          <w:iCs/>
          <w:color w:val="222222"/>
          <w:lang w:val="pl-PL"/>
        </w:rPr>
        <w:t xml:space="preserve">. Firmy ubezpieczeniowe mogą pobierać raporty bezpośrednio do swoich systemów obsługi klienta za </w:t>
      </w:r>
      <w:r w:rsidR="001A5E2B" w:rsidRPr="006022E9">
        <w:rPr>
          <w:rFonts w:ascii="Calibri" w:eastAsia="Calibri" w:hAnsi="Calibri" w:cs="Calibri"/>
          <w:bCs/>
          <w:i/>
          <w:iCs/>
          <w:color w:val="222222"/>
          <w:lang w:val="pl-PL"/>
        </w:rPr>
        <w:lastRenderedPageBreak/>
        <w:t xml:space="preserve">pośrednictwem API. Dostępne są informacje z różnych źródeł: RDO, bazy PESEL, Rejestru Zastrzeżeń PESEL, </w:t>
      </w:r>
      <w:r w:rsidR="00AB267E">
        <w:rPr>
          <w:rFonts w:ascii="Calibri" w:eastAsia="Calibri" w:hAnsi="Calibri" w:cs="Calibri"/>
          <w:bCs/>
          <w:i/>
          <w:iCs/>
          <w:color w:val="222222"/>
          <w:lang w:val="pl-PL"/>
        </w:rPr>
        <w:t>list sankcyjnych</w:t>
      </w:r>
      <w:r w:rsidR="0070154B">
        <w:rPr>
          <w:rFonts w:ascii="Calibri" w:eastAsia="Calibri" w:hAnsi="Calibri" w:cs="Calibri"/>
          <w:bCs/>
          <w:i/>
          <w:iCs/>
          <w:color w:val="222222"/>
          <w:lang w:val="pl-PL"/>
        </w:rPr>
        <w:t xml:space="preserve"> i PEP</w:t>
      </w:r>
      <w:r w:rsidR="00AB267E">
        <w:rPr>
          <w:rFonts w:ascii="Calibri" w:eastAsia="Calibri" w:hAnsi="Calibri" w:cs="Calibri"/>
          <w:bCs/>
          <w:i/>
          <w:iCs/>
          <w:color w:val="222222"/>
          <w:lang w:val="pl-PL"/>
        </w:rPr>
        <w:t xml:space="preserve">, </w:t>
      </w:r>
      <w:r w:rsidR="001A5E2B" w:rsidRPr="006022E9">
        <w:rPr>
          <w:rFonts w:ascii="Calibri" w:eastAsia="Calibri" w:hAnsi="Calibri" w:cs="Calibri"/>
          <w:bCs/>
          <w:i/>
          <w:iCs/>
          <w:color w:val="222222"/>
          <w:lang w:val="pl-PL"/>
        </w:rPr>
        <w:t>a także dane dotyczące kondycji</w:t>
      </w:r>
      <w:r w:rsidR="00AB267E">
        <w:rPr>
          <w:rFonts w:ascii="Calibri" w:eastAsia="Calibri" w:hAnsi="Calibri" w:cs="Calibri"/>
          <w:bCs/>
          <w:i/>
          <w:iCs/>
          <w:color w:val="222222"/>
          <w:lang w:val="pl-PL"/>
        </w:rPr>
        <w:t xml:space="preserve"> i aktywności</w:t>
      </w:r>
      <w:r w:rsidR="001A5E2B" w:rsidRPr="006022E9">
        <w:rPr>
          <w:rFonts w:ascii="Calibri" w:eastAsia="Calibri" w:hAnsi="Calibri" w:cs="Calibri"/>
          <w:bCs/>
          <w:i/>
          <w:iCs/>
          <w:color w:val="222222"/>
          <w:lang w:val="pl-PL"/>
        </w:rPr>
        <w:t xml:space="preserve"> finansowo-płatniczej – z BIG InfoMonitor, BIK czy ZBP</w:t>
      </w:r>
      <w:r w:rsidR="00AC77D6">
        <w:rPr>
          <w:rFonts w:ascii="Calibri" w:eastAsia="Calibri" w:hAnsi="Calibri" w:cs="Calibri"/>
          <w:bCs/>
          <w:i/>
          <w:iCs/>
          <w:color w:val="222222"/>
          <w:lang w:val="pl-PL"/>
        </w:rPr>
        <w:t xml:space="preserve"> – </w:t>
      </w:r>
      <w:r w:rsidR="00AC77D6">
        <w:rPr>
          <w:rFonts w:ascii="Calibri" w:eastAsia="Calibri" w:hAnsi="Calibri" w:cs="Calibri"/>
          <w:bCs/>
          <w:color w:val="222222"/>
          <w:lang w:val="pl-PL"/>
        </w:rPr>
        <w:t>mówi</w:t>
      </w:r>
      <w:r w:rsidR="00C819FE" w:rsidRPr="00C819FE">
        <w:rPr>
          <w:rFonts w:ascii="Calibri" w:eastAsia="Calibri" w:hAnsi="Calibri" w:cs="Calibri"/>
          <w:bCs/>
          <w:color w:val="222222"/>
          <w:lang w:val="pl-PL"/>
        </w:rPr>
        <w:t xml:space="preserve"> </w:t>
      </w:r>
      <w:r w:rsidR="00C819FE" w:rsidRPr="00C819FE">
        <w:rPr>
          <w:rFonts w:ascii="Calibri" w:eastAsia="Calibri" w:hAnsi="Calibri" w:cs="Calibri"/>
          <w:b/>
          <w:color w:val="222222"/>
          <w:lang w:val="pl-PL"/>
        </w:rPr>
        <w:t>Sylwia Nowak, ekspert</w:t>
      </w:r>
      <w:r w:rsidR="0070154B">
        <w:rPr>
          <w:rFonts w:ascii="Calibri" w:eastAsia="Calibri" w:hAnsi="Calibri" w:cs="Calibri"/>
          <w:b/>
          <w:color w:val="222222"/>
          <w:lang w:val="pl-PL"/>
        </w:rPr>
        <w:t>k</w:t>
      </w:r>
      <w:r w:rsidR="00C819FE" w:rsidRPr="00C819FE">
        <w:rPr>
          <w:rFonts w:ascii="Calibri" w:eastAsia="Calibri" w:hAnsi="Calibri" w:cs="Calibri"/>
          <w:b/>
          <w:color w:val="222222"/>
          <w:lang w:val="pl-PL"/>
        </w:rPr>
        <w:t>a w Grupie BIK</w:t>
      </w:r>
      <w:r w:rsidR="00C819FE">
        <w:rPr>
          <w:rFonts w:ascii="Calibri" w:eastAsia="Calibri" w:hAnsi="Calibri" w:cs="Calibri"/>
          <w:b/>
          <w:color w:val="222222"/>
          <w:lang w:val="pl-PL"/>
        </w:rPr>
        <w:t>.</w:t>
      </w:r>
    </w:p>
    <w:p w14:paraId="22760508" w14:textId="77777777" w:rsidR="002B3B1E" w:rsidRDefault="002B3B1E" w:rsidP="001A5E2B">
      <w:pPr>
        <w:jc w:val="both"/>
        <w:rPr>
          <w:rFonts w:ascii="Calibri" w:eastAsia="Calibri" w:hAnsi="Calibri" w:cs="Calibri"/>
          <w:b/>
          <w:color w:val="222222"/>
          <w:lang w:val="pl-PL"/>
        </w:rPr>
      </w:pPr>
    </w:p>
    <w:p w14:paraId="29FC485B" w14:textId="3A56347C" w:rsidR="002B3B1E" w:rsidRPr="00747D45" w:rsidRDefault="003F3BD2" w:rsidP="002B3B1E">
      <w:pPr>
        <w:jc w:val="both"/>
        <w:rPr>
          <w:rFonts w:ascii="Calibri" w:eastAsia="Calibri" w:hAnsi="Calibri" w:cs="Calibri"/>
          <w:b/>
          <w:color w:val="222222"/>
          <w:lang w:val="pl-PL"/>
        </w:rPr>
      </w:pPr>
      <w:r>
        <w:rPr>
          <w:rFonts w:ascii="Calibri" w:eastAsia="Calibri" w:hAnsi="Calibri" w:cs="Calibri"/>
          <w:b/>
          <w:color w:val="222222"/>
          <w:lang w:val="pl-PL"/>
        </w:rPr>
        <w:t>Z</w:t>
      </w:r>
      <w:r w:rsidR="002B3B1E" w:rsidRPr="00747D45">
        <w:rPr>
          <w:rFonts w:ascii="Calibri" w:eastAsia="Calibri" w:hAnsi="Calibri" w:cs="Calibri"/>
          <w:b/>
          <w:color w:val="222222"/>
          <w:lang w:val="pl-PL"/>
        </w:rPr>
        <w:t>ainteresowanie polisami opłacanymi w ratach a ryzyko opóźnień</w:t>
      </w:r>
    </w:p>
    <w:p w14:paraId="3690DFDB" w14:textId="77777777" w:rsidR="002B3B1E" w:rsidRDefault="002B3B1E" w:rsidP="002B3B1E">
      <w:pPr>
        <w:jc w:val="both"/>
        <w:rPr>
          <w:rFonts w:ascii="Calibri" w:eastAsia="Calibri" w:hAnsi="Calibri" w:cs="Calibri"/>
          <w:bCs/>
          <w:color w:val="222222"/>
          <w:lang w:val="pl-PL"/>
        </w:rPr>
      </w:pPr>
    </w:p>
    <w:p w14:paraId="71480CEE" w14:textId="04EA2B5F" w:rsidR="002B3B1E" w:rsidRDefault="002B3B1E" w:rsidP="002B3B1E">
      <w:pPr>
        <w:jc w:val="both"/>
        <w:rPr>
          <w:rFonts w:ascii="Calibri" w:eastAsia="Calibri" w:hAnsi="Calibri" w:cs="Calibri"/>
          <w:bCs/>
          <w:color w:val="222222"/>
          <w:lang w:val="pl-PL"/>
        </w:rPr>
      </w:pPr>
      <w:r w:rsidRPr="002B3B1E">
        <w:rPr>
          <w:rFonts w:ascii="Calibri" w:eastAsia="Calibri" w:hAnsi="Calibri" w:cs="Calibri"/>
          <w:bCs/>
          <w:color w:val="222222"/>
          <w:lang w:val="pl-PL"/>
        </w:rPr>
        <w:t xml:space="preserve">Klienci coraz częściej szukają elastycznych rozwiązań finansowych, które pozwalają rozłożyć koszt ubezpieczenia w czasie, bez jednorazowego obciążenia budżetu domowego. W warunkach utrzymującej się presji kosztowej takie podejście </w:t>
      </w:r>
      <w:r w:rsidR="00492F2E">
        <w:rPr>
          <w:rFonts w:ascii="Calibri" w:eastAsia="Calibri" w:hAnsi="Calibri" w:cs="Calibri"/>
          <w:bCs/>
          <w:color w:val="222222"/>
          <w:lang w:val="pl-PL"/>
        </w:rPr>
        <w:t xml:space="preserve">to </w:t>
      </w:r>
      <w:r w:rsidR="00B33579" w:rsidRPr="002B3B1E">
        <w:rPr>
          <w:rFonts w:ascii="Calibri" w:eastAsia="Calibri" w:hAnsi="Calibri" w:cs="Calibri"/>
          <w:bCs/>
          <w:color w:val="222222"/>
          <w:lang w:val="pl-PL"/>
        </w:rPr>
        <w:t>standard,</w:t>
      </w:r>
      <w:r w:rsidR="00884983">
        <w:rPr>
          <w:rFonts w:ascii="Calibri" w:eastAsia="Calibri" w:hAnsi="Calibri" w:cs="Calibri"/>
          <w:bCs/>
          <w:color w:val="222222"/>
          <w:lang w:val="pl-PL"/>
        </w:rPr>
        <w:t xml:space="preserve"> jeśli chodzi o</w:t>
      </w:r>
      <w:r w:rsidRPr="002B3B1E">
        <w:rPr>
          <w:rFonts w:ascii="Calibri" w:eastAsia="Calibri" w:hAnsi="Calibri" w:cs="Calibri"/>
          <w:bCs/>
          <w:color w:val="222222"/>
          <w:lang w:val="pl-PL"/>
        </w:rPr>
        <w:t xml:space="preserve"> oczekiwa</w:t>
      </w:r>
      <w:r w:rsidR="00884983">
        <w:rPr>
          <w:rFonts w:ascii="Calibri" w:eastAsia="Calibri" w:hAnsi="Calibri" w:cs="Calibri"/>
          <w:bCs/>
          <w:color w:val="222222"/>
          <w:lang w:val="pl-PL"/>
        </w:rPr>
        <w:t>nia</w:t>
      </w:r>
      <w:r w:rsidRPr="002B3B1E">
        <w:rPr>
          <w:rFonts w:ascii="Calibri" w:eastAsia="Calibri" w:hAnsi="Calibri" w:cs="Calibri"/>
          <w:bCs/>
          <w:color w:val="222222"/>
          <w:lang w:val="pl-PL"/>
        </w:rPr>
        <w:t xml:space="preserve"> wobec rynku ubezpieczeniowego.</w:t>
      </w:r>
    </w:p>
    <w:p w14:paraId="0258D617" w14:textId="77777777" w:rsidR="002B3B1E" w:rsidRPr="002B3B1E" w:rsidRDefault="002B3B1E" w:rsidP="002B3B1E">
      <w:pPr>
        <w:jc w:val="both"/>
        <w:rPr>
          <w:rFonts w:ascii="Calibri" w:eastAsia="Calibri" w:hAnsi="Calibri" w:cs="Calibri"/>
          <w:bCs/>
          <w:color w:val="222222"/>
          <w:lang w:val="pl-PL"/>
        </w:rPr>
      </w:pPr>
    </w:p>
    <w:p w14:paraId="4BB9D6B7" w14:textId="7B1E5F93" w:rsidR="002B3B1E" w:rsidRPr="002B3B1E" w:rsidRDefault="006B41A1" w:rsidP="002B3B1E">
      <w:pPr>
        <w:jc w:val="both"/>
        <w:rPr>
          <w:rFonts w:ascii="Calibri" w:eastAsia="Calibri" w:hAnsi="Calibri" w:cs="Calibri"/>
          <w:bCs/>
          <w:color w:val="222222"/>
          <w:lang w:val="pl-PL"/>
        </w:rPr>
      </w:pPr>
      <w:r>
        <w:rPr>
          <w:rFonts w:ascii="Calibri" w:eastAsia="Calibri" w:hAnsi="Calibri" w:cs="Calibri"/>
          <w:bCs/>
          <w:color w:val="222222"/>
          <w:lang w:val="pl-PL"/>
        </w:rPr>
        <w:t xml:space="preserve"> - </w:t>
      </w:r>
      <w:r w:rsidR="002B3B1E" w:rsidRPr="00747D45">
        <w:rPr>
          <w:rFonts w:ascii="Calibri" w:eastAsia="Calibri" w:hAnsi="Calibri" w:cs="Calibri"/>
          <w:bCs/>
          <w:i/>
          <w:iCs/>
          <w:color w:val="222222"/>
          <w:lang w:val="pl-PL"/>
        </w:rPr>
        <w:t xml:space="preserve">Z perspektywy ubezpieczycieli oznacza to jednak konieczność bardziej zaawansowanego zarządzania ryzykiem. O ile sprzedaż ratalna zwiększa dostępność produktów, o tyle jednocześnie wiąże się z ryzykiem braku terminowej spłaty składek. Dlatego kluczowe staje się kompleksowe badanie wiarygodności klientów już na etapie zawierania umowy. W praktyce oznacza to coraz szersze wykorzystanie danych </w:t>
      </w:r>
      <w:r w:rsidR="004B7F3B" w:rsidRPr="004B7F3B">
        <w:rPr>
          <w:rFonts w:ascii="Calibri" w:eastAsia="Calibri" w:hAnsi="Calibri" w:cs="Calibri"/>
          <w:bCs/>
          <w:i/>
          <w:iCs/>
          <w:color w:val="222222"/>
          <w:lang w:val="pl-PL"/>
        </w:rPr>
        <w:t>zewnętrznyc</w:t>
      </w:r>
      <w:r w:rsidR="004B7F3B">
        <w:rPr>
          <w:rFonts w:ascii="Calibri" w:eastAsia="Calibri" w:hAnsi="Calibri" w:cs="Calibri"/>
          <w:bCs/>
          <w:i/>
          <w:iCs/>
          <w:color w:val="222222"/>
          <w:lang w:val="pl-PL"/>
        </w:rPr>
        <w:t>h</w:t>
      </w:r>
      <w:r w:rsidR="002B3B1E" w:rsidRPr="00747D45">
        <w:rPr>
          <w:rFonts w:ascii="Calibri" w:eastAsia="Calibri" w:hAnsi="Calibri" w:cs="Calibri"/>
          <w:bCs/>
          <w:i/>
          <w:iCs/>
          <w:color w:val="222222"/>
          <w:lang w:val="pl-PL"/>
        </w:rPr>
        <w:t xml:space="preserve"> z</w:t>
      </w:r>
      <w:r w:rsidR="00884983">
        <w:rPr>
          <w:rFonts w:ascii="Calibri" w:eastAsia="Calibri" w:hAnsi="Calibri" w:cs="Calibri"/>
          <w:bCs/>
          <w:i/>
          <w:iCs/>
          <w:color w:val="222222"/>
          <w:lang w:val="pl-PL"/>
        </w:rPr>
        <w:t xml:space="preserve"> baz</w:t>
      </w:r>
      <w:r w:rsidR="002B3B1E" w:rsidRPr="00747D45">
        <w:rPr>
          <w:rFonts w:ascii="Calibri" w:eastAsia="Calibri" w:hAnsi="Calibri" w:cs="Calibri"/>
          <w:bCs/>
          <w:i/>
          <w:iCs/>
          <w:color w:val="222222"/>
          <w:lang w:val="pl-PL"/>
        </w:rPr>
        <w:t xml:space="preserve"> BIG </w:t>
      </w:r>
      <w:r w:rsidR="004B7F3B">
        <w:rPr>
          <w:rFonts w:ascii="Calibri" w:eastAsia="Calibri" w:hAnsi="Calibri" w:cs="Calibri"/>
          <w:bCs/>
          <w:i/>
          <w:iCs/>
          <w:color w:val="222222"/>
          <w:lang w:val="pl-PL"/>
        </w:rPr>
        <w:t xml:space="preserve">InfoMonitor oraz </w:t>
      </w:r>
      <w:r w:rsidR="002B3B1E" w:rsidRPr="00747D45">
        <w:rPr>
          <w:rFonts w:ascii="Calibri" w:eastAsia="Calibri" w:hAnsi="Calibri" w:cs="Calibri"/>
          <w:bCs/>
          <w:i/>
          <w:iCs/>
          <w:color w:val="222222"/>
          <w:lang w:val="pl-PL"/>
        </w:rPr>
        <w:t>BIK.</w:t>
      </w:r>
      <w:r w:rsidRPr="00747D45">
        <w:rPr>
          <w:rFonts w:ascii="Calibri" w:eastAsia="Calibri" w:hAnsi="Calibri" w:cs="Calibri"/>
          <w:bCs/>
          <w:i/>
          <w:iCs/>
          <w:color w:val="222222"/>
          <w:lang w:val="pl-PL"/>
        </w:rPr>
        <w:t xml:space="preserve"> </w:t>
      </w:r>
      <w:r w:rsidR="002B3B1E" w:rsidRPr="00747D45">
        <w:rPr>
          <w:rFonts w:ascii="Calibri" w:eastAsia="Calibri" w:hAnsi="Calibri" w:cs="Calibri"/>
          <w:bCs/>
          <w:i/>
          <w:iCs/>
          <w:color w:val="222222"/>
          <w:lang w:val="pl-PL"/>
        </w:rPr>
        <w:t>Takie podejście pozwala stworzyć pełniejszy profil klienta i lepiej dopasować warunki oferty – zarówno pod względem wysokości rat, jak i zakresu ochrony czy ewentualnych zabezpieczeń. Co istotne, dla klientów o dobrej historii płatniczej może to oznaczać łatwiejszy dostęp do finansowania składki, natomiast w przypadku podwyższonego ryzyka – bardziej ostrożne podejście ubezpieczyciela</w:t>
      </w:r>
      <w:r>
        <w:rPr>
          <w:rFonts w:ascii="Calibri" w:eastAsia="Calibri" w:hAnsi="Calibri" w:cs="Calibri"/>
          <w:bCs/>
          <w:color w:val="222222"/>
          <w:lang w:val="pl-PL"/>
        </w:rPr>
        <w:t xml:space="preserve"> – wskazuje </w:t>
      </w:r>
      <w:r w:rsidRPr="00747D45">
        <w:rPr>
          <w:rFonts w:ascii="Calibri" w:eastAsia="Calibri" w:hAnsi="Calibri" w:cs="Calibri"/>
          <w:b/>
          <w:color w:val="222222"/>
          <w:lang w:val="pl-PL"/>
        </w:rPr>
        <w:t>Sylwia Nowak z Grupy BIK</w:t>
      </w:r>
      <w:r>
        <w:rPr>
          <w:rFonts w:ascii="Calibri" w:eastAsia="Calibri" w:hAnsi="Calibri" w:cs="Calibri"/>
          <w:bCs/>
          <w:color w:val="222222"/>
          <w:lang w:val="pl-PL"/>
        </w:rPr>
        <w:t>.</w:t>
      </w:r>
    </w:p>
    <w:p w14:paraId="325B21B6" w14:textId="77777777" w:rsidR="00203CA2" w:rsidRDefault="00203CA2" w:rsidP="009540B4">
      <w:pPr>
        <w:jc w:val="both"/>
        <w:rPr>
          <w:rFonts w:ascii="Calibri" w:eastAsia="Calibri" w:hAnsi="Calibri" w:cs="Calibri"/>
          <w:bCs/>
          <w:color w:val="222222"/>
          <w:lang w:val="pl-PL"/>
        </w:rPr>
      </w:pPr>
    </w:p>
    <w:p w14:paraId="534254BA" w14:textId="77777777" w:rsidR="006022E9" w:rsidRPr="00C819FE" w:rsidRDefault="006022E9" w:rsidP="006022E9">
      <w:pPr>
        <w:jc w:val="both"/>
        <w:rPr>
          <w:rFonts w:ascii="Calibri" w:eastAsia="Calibri" w:hAnsi="Calibri" w:cs="Calibri"/>
          <w:b/>
          <w:bCs/>
          <w:color w:val="222222"/>
          <w:lang w:val="pl-PL"/>
        </w:rPr>
      </w:pPr>
      <w:r w:rsidRPr="00C819FE">
        <w:rPr>
          <w:rFonts w:ascii="Calibri" w:eastAsia="Calibri" w:hAnsi="Calibri" w:cs="Calibri"/>
          <w:b/>
          <w:bCs/>
          <w:color w:val="222222"/>
          <w:lang w:val="pl-PL"/>
        </w:rPr>
        <w:t>Wakacje z polisą, ale… bez zaległości</w:t>
      </w:r>
    </w:p>
    <w:p w14:paraId="32B9353E" w14:textId="77777777" w:rsidR="006022E9" w:rsidRPr="00C819FE" w:rsidRDefault="006022E9" w:rsidP="006022E9">
      <w:pPr>
        <w:jc w:val="both"/>
        <w:rPr>
          <w:rFonts w:ascii="Calibri" w:eastAsia="Calibri" w:hAnsi="Calibri" w:cs="Calibri"/>
          <w:b/>
          <w:bCs/>
          <w:color w:val="222222"/>
          <w:lang w:val="pl-PL"/>
        </w:rPr>
      </w:pPr>
    </w:p>
    <w:p w14:paraId="063C64EB" w14:textId="1B879E81" w:rsidR="006022E9" w:rsidRPr="00C819FE" w:rsidRDefault="006022E9" w:rsidP="006022E9">
      <w:pPr>
        <w:jc w:val="both"/>
        <w:rPr>
          <w:rFonts w:ascii="Calibri" w:eastAsia="Calibri" w:hAnsi="Calibri" w:cs="Calibri"/>
          <w:bCs/>
          <w:color w:val="222222"/>
          <w:lang w:val="pl-PL"/>
        </w:rPr>
      </w:pPr>
      <w:r w:rsidRPr="00C819FE">
        <w:rPr>
          <w:rFonts w:ascii="Calibri" w:eastAsia="Calibri" w:hAnsi="Calibri" w:cs="Calibri"/>
          <w:bCs/>
          <w:color w:val="222222"/>
          <w:lang w:val="pl-PL"/>
        </w:rPr>
        <w:t xml:space="preserve">Warto zwrócić uwagę na dodatkowy wymiar problemu, jakim jest sezonowość. Zbliżające się wakacje tradycyjnie wiążą się z rosnącym zainteresowaniem ubezpieczeniami turystycznymi. Jednocześnie wiele osób podejmuje decyzję o zakupie polisy, nie zdając sobie sprawy, że zaległości wobec ubezpieczyciela mogą wpłynąć na warunki oferty lub uniemożliwić jej zawarcie. </w:t>
      </w:r>
    </w:p>
    <w:p w14:paraId="55F8333B" w14:textId="77777777" w:rsidR="006022E9" w:rsidRPr="00C819FE" w:rsidRDefault="006022E9" w:rsidP="006022E9">
      <w:pPr>
        <w:jc w:val="both"/>
        <w:rPr>
          <w:rFonts w:ascii="Calibri" w:eastAsia="Calibri" w:hAnsi="Calibri" w:cs="Calibri"/>
          <w:bCs/>
          <w:color w:val="222222"/>
          <w:lang w:val="pl-PL"/>
        </w:rPr>
      </w:pPr>
    </w:p>
    <w:p w14:paraId="2DD2508D" w14:textId="77777777" w:rsidR="006022E9" w:rsidRDefault="006022E9" w:rsidP="006022E9">
      <w:pPr>
        <w:jc w:val="both"/>
        <w:rPr>
          <w:rFonts w:ascii="Calibri" w:eastAsia="Calibri" w:hAnsi="Calibri" w:cs="Calibri"/>
          <w:b/>
          <w:bCs/>
          <w:color w:val="222222"/>
          <w:lang w:val="pl-PL"/>
        </w:rPr>
      </w:pPr>
      <w:r w:rsidRPr="00C819FE">
        <w:rPr>
          <w:rFonts w:ascii="Calibri" w:eastAsia="Calibri" w:hAnsi="Calibri" w:cs="Calibri"/>
          <w:bCs/>
          <w:color w:val="222222"/>
          <w:lang w:val="pl-PL"/>
        </w:rPr>
        <w:t xml:space="preserve">– </w:t>
      </w:r>
      <w:r w:rsidRPr="00C819FE">
        <w:rPr>
          <w:rFonts w:ascii="Calibri" w:eastAsia="Calibri" w:hAnsi="Calibri" w:cs="Calibri"/>
          <w:bCs/>
          <w:i/>
          <w:iCs/>
          <w:color w:val="222222"/>
          <w:lang w:val="pl-PL"/>
        </w:rPr>
        <w:t>Ubezpieczenie to nie subskrypcja, którą można zawiesić na chwilę. Przestój w płatnościach oznacza nie tylko ryzyko przerwania ochrony, ale też potencjalne skutki dla historii finansowej klienta. Zaległości wobec ubezpieczyciela, nawet jeśli niewielkie, mogą skutkować wpisem do rejestru dłużników, a to pociąga za sobą konsekwencje przy próbie zawarcia nowych umów</w:t>
      </w:r>
      <w:r w:rsidRPr="00C819FE">
        <w:rPr>
          <w:rFonts w:ascii="Calibri" w:eastAsia="Calibri" w:hAnsi="Calibri" w:cs="Calibri"/>
          <w:bCs/>
          <w:color w:val="222222"/>
          <w:lang w:val="pl-PL"/>
        </w:rPr>
        <w:t xml:space="preserve"> – tłumaczy </w:t>
      </w:r>
      <w:r w:rsidRPr="00C819FE">
        <w:rPr>
          <w:rFonts w:ascii="Calibri" w:eastAsia="Calibri" w:hAnsi="Calibri" w:cs="Calibri"/>
          <w:b/>
          <w:bCs/>
          <w:color w:val="222222"/>
          <w:lang w:val="pl-PL"/>
        </w:rPr>
        <w:t>Paweł Szarkowski, prezes BIG InfoMonitor.</w:t>
      </w:r>
    </w:p>
    <w:p w14:paraId="72F159C2" w14:textId="77777777" w:rsidR="00D23F23" w:rsidRDefault="00D23F23" w:rsidP="009540B4">
      <w:pPr>
        <w:jc w:val="both"/>
        <w:rPr>
          <w:rFonts w:ascii="Calibri" w:eastAsia="Calibri" w:hAnsi="Calibri" w:cs="Calibri"/>
          <w:bCs/>
          <w:color w:val="222222"/>
          <w:lang w:val="pl-PL"/>
        </w:rPr>
      </w:pPr>
    </w:p>
    <w:p w14:paraId="0BDF6084" w14:textId="77777777" w:rsidR="00D23F23" w:rsidRPr="009540B4" w:rsidRDefault="00D23F23" w:rsidP="009540B4">
      <w:pPr>
        <w:jc w:val="both"/>
        <w:rPr>
          <w:rFonts w:ascii="Calibri" w:eastAsia="Calibri" w:hAnsi="Calibri" w:cs="Calibri"/>
          <w:bCs/>
          <w:color w:val="222222"/>
          <w:lang w:val="pl-PL"/>
        </w:rPr>
      </w:pPr>
    </w:p>
    <w:p w14:paraId="02671CBA" w14:textId="77777777" w:rsidR="00391B1F" w:rsidRPr="00391B1F" w:rsidRDefault="00391B1F" w:rsidP="00391B1F">
      <w:pPr>
        <w:jc w:val="both"/>
        <w:rPr>
          <w:rFonts w:ascii="Calibri" w:eastAsia="Calibri" w:hAnsi="Calibri" w:cs="Calibri"/>
          <w:color w:val="222222"/>
          <w:sz w:val="18"/>
          <w:szCs w:val="18"/>
        </w:rPr>
      </w:pPr>
      <w:r w:rsidRPr="00391B1F">
        <w:rPr>
          <w:rFonts w:ascii="Calibri" w:eastAsia="Calibri" w:hAnsi="Calibri" w:cs="Calibri"/>
          <w:b/>
          <w:bCs/>
          <w:color w:val="222222"/>
          <w:sz w:val="18"/>
          <w:szCs w:val="18"/>
        </w:rPr>
        <w:t>BIG InfoMonitor, spółka z Grupy BIK</w:t>
      </w:r>
      <w:r w:rsidRPr="00391B1F">
        <w:rPr>
          <w:rFonts w:ascii="Calibri" w:eastAsia="Calibri" w:hAnsi="Calibri" w:cs="Calibri"/>
          <w:color w:val="222222"/>
          <w:sz w:val="18"/>
          <w:szCs w:val="18"/>
        </w:rPr>
        <w:t xml:space="preserve">, już od 22 lat dostarcza rynkowi wiarygodne informacje o zadłużeniu osób fizycznych i firm. Pomaga w ten sposób w przeciwdziałaniu zatorom płatniczym i odzyskiwaniu należności. Spółka prowadzi rejestr dłużników, do którego na warunkach określonych w Ustawie o BIG, każdy może wpisać dłużnika – firmę lub konsumenta zalegającego z płatnościami. Oprócz zaległych długów BIG InfoMonitor gromadzi i udostępnia pozytywne informacje gospodarcze, czyli dane o terminowych płatnościach. Raporty z BIG InfoMonitor zawierają wiarygodne informacje o kondycji finansowej osób oraz firm i tym samym wspierają podmioty gospodarcze w dbaniu o płynność finansową.  BIG InfoMonitor </w:t>
      </w:r>
      <w:r w:rsidRPr="00391B1F">
        <w:rPr>
          <w:rFonts w:ascii="Calibri" w:eastAsia="Calibri" w:hAnsi="Calibri" w:cs="Calibri"/>
          <w:color w:val="222222"/>
          <w:sz w:val="18"/>
          <w:szCs w:val="18"/>
        </w:rPr>
        <w:lastRenderedPageBreak/>
        <w:t xml:space="preserve">posiada jedną z największych baz dłużników – zasoby rejestru obejmują ponad 114 mln informacji gospodarczych. Od początku działalności do rejestru dłużników BIG InfoMonitor wpisano blisko 42 mln zaległych zobowiązań o wartości 660 mld zł. Banki, firmy pożyczkowe i inne podmioty z rynku chętnie korzystają z raportów z BIG InfoMonitor w swoich procesach sprzedażowych. Badają w ten sposób wiarygodność płatniczą swoich klientów. Od początku działania BIG InfoMonitor udostępnił 363 mln raportów o wiarygodności płatniczej osób i firm. </w:t>
      </w:r>
    </w:p>
    <w:p w14:paraId="48C5AAE4" w14:textId="77777777" w:rsidR="00391B1F" w:rsidRPr="00391B1F" w:rsidRDefault="00391B1F" w:rsidP="00391B1F">
      <w:pPr>
        <w:jc w:val="both"/>
        <w:rPr>
          <w:rFonts w:ascii="Calibri" w:eastAsia="Calibri" w:hAnsi="Calibri" w:cs="Calibri"/>
          <w:color w:val="222222"/>
          <w:sz w:val="18"/>
          <w:szCs w:val="18"/>
        </w:rPr>
      </w:pPr>
      <w:r w:rsidRPr="00391B1F">
        <w:rPr>
          <w:rFonts w:ascii="Calibri" w:eastAsia="Calibri" w:hAnsi="Calibri" w:cs="Calibri"/>
          <w:color w:val="222222"/>
          <w:sz w:val="18"/>
          <w:szCs w:val="18"/>
        </w:rPr>
        <w:t xml:space="preserve">Informacje o dłużnikach przekazują do BIG InfoMonitor m.in. dostawcy energii elektrycznej, gazu, wody i inne przedsiębiorstwa użyteczności publicznej, banki, firmy pożyczkowe, operatorzy telefonii stacjonarnej i komórkowej, firmy ubezpieczeniowe, faktoringowe, leasingowe, sektor MŚP i  duże firmy, zarządcy nieruchomości, transport publiczny, sądy, gminy i urzędy miasta, a także osoby fizyczne. </w:t>
      </w:r>
    </w:p>
    <w:p w14:paraId="6239C3D2" w14:textId="2A35092F" w:rsidR="00391B1F" w:rsidRDefault="00391B1F" w:rsidP="00391B1F">
      <w:pPr>
        <w:jc w:val="both"/>
        <w:rPr>
          <w:rFonts w:ascii="Calibri" w:eastAsia="Calibri" w:hAnsi="Calibri" w:cs="Calibri"/>
          <w:color w:val="222222"/>
          <w:sz w:val="18"/>
          <w:szCs w:val="18"/>
        </w:rPr>
      </w:pPr>
      <w:r w:rsidRPr="00391B1F">
        <w:rPr>
          <w:rFonts w:ascii="Calibri" w:eastAsia="Calibri" w:hAnsi="Calibri" w:cs="Calibri"/>
          <w:color w:val="222222"/>
          <w:sz w:val="18"/>
          <w:szCs w:val="18"/>
        </w:rPr>
        <w:t xml:space="preserve">BIG InfoMonitor umożliwia dostęp do baz: Biura Informacji Kredytowej i Związku Banków Polskich, dzięki czemu stanowi platformę wymiany informacji pomiędzy sektorem bankowym i pozostałymi sektorami gospodarki. Głównym akcjonariuszem BIG InfoMonitor jest Biuro Informacji Kredytowej. Więcej na </w:t>
      </w:r>
      <w:hyperlink r:id="rId8" w:history="1">
        <w:r w:rsidRPr="00727B4B">
          <w:rPr>
            <w:rStyle w:val="Hipercze"/>
            <w:rFonts w:ascii="Calibri" w:eastAsia="Calibri" w:hAnsi="Calibri" w:cs="Calibri"/>
            <w:sz w:val="18"/>
            <w:szCs w:val="18"/>
          </w:rPr>
          <w:t>www.big.pl</w:t>
        </w:r>
      </w:hyperlink>
    </w:p>
    <w:p w14:paraId="3FB2B26B" w14:textId="77777777" w:rsidR="00391B1F" w:rsidRPr="00391B1F" w:rsidRDefault="00391B1F" w:rsidP="00391B1F">
      <w:pPr>
        <w:jc w:val="both"/>
        <w:rPr>
          <w:rFonts w:ascii="Calibri" w:eastAsia="Calibri" w:hAnsi="Calibri" w:cs="Calibri"/>
          <w:color w:val="222222"/>
          <w:sz w:val="18"/>
          <w:szCs w:val="18"/>
        </w:rPr>
      </w:pPr>
    </w:p>
    <w:p w14:paraId="5391ED52" w14:textId="77777777" w:rsidR="009540B4" w:rsidRDefault="009540B4">
      <w:pPr>
        <w:jc w:val="both"/>
        <w:rPr>
          <w:rFonts w:ascii="Calibri" w:eastAsia="Calibri" w:hAnsi="Calibri" w:cs="Calibri"/>
          <w:color w:val="222222"/>
          <w:highlight w:val="white"/>
        </w:rPr>
      </w:pPr>
    </w:p>
    <w:p w14:paraId="00000022" w14:textId="77777777" w:rsidR="007B210D" w:rsidRPr="00090F2F" w:rsidRDefault="007B210D">
      <w:pPr>
        <w:spacing w:line="240" w:lineRule="auto"/>
        <w:jc w:val="both"/>
        <w:rPr>
          <w:rFonts w:ascii="Calibri" w:hAnsi="Calibri" w:cs="Calibri"/>
          <w:b/>
          <w:sz w:val="20"/>
          <w:szCs w:val="20"/>
        </w:rPr>
      </w:pPr>
    </w:p>
    <w:p w14:paraId="00000023" w14:textId="77777777" w:rsidR="007B210D" w:rsidRPr="00090F2F" w:rsidRDefault="00B52709">
      <w:pPr>
        <w:spacing w:line="240" w:lineRule="auto"/>
        <w:jc w:val="both"/>
        <w:rPr>
          <w:rFonts w:ascii="Calibri" w:hAnsi="Calibri" w:cs="Calibri"/>
          <w:b/>
          <w:sz w:val="20"/>
          <w:szCs w:val="20"/>
        </w:rPr>
      </w:pPr>
      <w:r w:rsidRPr="00090F2F">
        <w:rPr>
          <w:rFonts w:ascii="Calibri" w:hAnsi="Calibri" w:cs="Calibri"/>
          <w:b/>
          <w:sz w:val="20"/>
          <w:szCs w:val="20"/>
        </w:rPr>
        <w:t>Kontakt dla mediów:</w:t>
      </w:r>
    </w:p>
    <w:tbl>
      <w:tblPr>
        <w:tblStyle w:val="a0"/>
        <w:tblW w:w="10460" w:type="dxa"/>
        <w:tblInd w:w="0" w:type="dxa"/>
        <w:tblLayout w:type="fixed"/>
        <w:tblLook w:val="0400" w:firstRow="0" w:lastRow="0" w:firstColumn="0" w:lastColumn="0" w:noHBand="0" w:noVBand="1"/>
      </w:tblPr>
      <w:tblGrid>
        <w:gridCol w:w="3780"/>
        <w:gridCol w:w="3340"/>
        <w:gridCol w:w="3340"/>
      </w:tblGrid>
      <w:tr w:rsidR="007B210D" w:rsidRPr="00090F2F" w14:paraId="21EB6EF8" w14:textId="77777777">
        <w:trPr>
          <w:trHeight w:val="1440"/>
        </w:trPr>
        <w:tc>
          <w:tcPr>
            <w:tcW w:w="3780" w:type="dxa"/>
          </w:tcPr>
          <w:p w14:paraId="00000024" w14:textId="77777777" w:rsidR="007B210D" w:rsidRPr="00090F2F" w:rsidRDefault="00B52709">
            <w:pPr>
              <w:spacing w:line="240" w:lineRule="auto"/>
              <w:ind w:left="-108"/>
              <w:jc w:val="both"/>
              <w:rPr>
                <w:rFonts w:ascii="Calibri" w:hAnsi="Calibri" w:cs="Calibri"/>
                <w:sz w:val="20"/>
                <w:szCs w:val="20"/>
              </w:rPr>
            </w:pPr>
            <w:r w:rsidRPr="00090F2F">
              <w:rPr>
                <w:rFonts w:ascii="Calibri" w:hAnsi="Calibri" w:cs="Calibri"/>
                <w:sz w:val="20"/>
                <w:szCs w:val="20"/>
              </w:rPr>
              <w:t>Diana Borowiecka</w:t>
            </w:r>
          </w:p>
          <w:p w14:paraId="00000025" w14:textId="77777777" w:rsidR="007B210D" w:rsidRPr="00090F2F" w:rsidRDefault="00B52709">
            <w:pPr>
              <w:spacing w:line="240" w:lineRule="auto"/>
              <w:ind w:left="-108"/>
              <w:jc w:val="both"/>
              <w:rPr>
                <w:rFonts w:ascii="Calibri" w:hAnsi="Calibri" w:cs="Calibri"/>
                <w:sz w:val="20"/>
                <w:szCs w:val="20"/>
              </w:rPr>
            </w:pPr>
            <w:r w:rsidRPr="00090F2F">
              <w:rPr>
                <w:rFonts w:ascii="Calibri" w:hAnsi="Calibri" w:cs="Calibri"/>
                <w:sz w:val="20"/>
                <w:szCs w:val="20"/>
              </w:rPr>
              <w:t>Biuro PR i Komunikacji</w:t>
            </w:r>
          </w:p>
          <w:p w14:paraId="00000026" w14:textId="77777777" w:rsidR="007B210D" w:rsidRPr="00090F2F" w:rsidRDefault="00B52709">
            <w:pPr>
              <w:spacing w:line="240" w:lineRule="auto"/>
              <w:ind w:left="-108"/>
              <w:jc w:val="both"/>
              <w:rPr>
                <w:rFonts w:ascii="Calibri" w:hAnsi="Calibri" w:cs="Calibri"/>
                <w:sz w:val="20"/>
                <w:szCs w:val="20"/>
              </w:rPr>
            </w:pPr>
            <w:r w:rsidRPr="00090F2F">
              <w:rPr>
                <w:rFonts w:ascii="Calibri" w:hAnsi="Calibri" w:cs="Calibri"/>
                <w:sz w:val="20"/>
                <w:szCs w:val="20"/>
              </w:rPr>
              <w:t>tel.: +48 22 486 56 46</w:t>
            </w:r>
          </w:p>
          <w:p w14:paraId="00000027" w14:textId="77777777" w:rsidR="007B210D" w:rsidRPr="00090F2F" w:rsidRDefault="00B52709">
            <w:pPr>
              <w:spacing w:line="240" w:lineRule="auto"/>
              <w:ind w:left="-108"/>
              <w:jc w:val="both"/>
              <w:rPr>
                <w:rFonts w:ascii="Calibri" w:hAnsi="Calibri" w:cs="Calibri"/>
                <w:sz w:val="20"/>
                <w:szCs w:val="20"/>
              </w:rPr>
            </w:pPr>
            <w:r w:rsidRPr="00090F2F">
              <w:rPr>
                <w:rFonts w:ascii="Calibri" w:hAnsi="Calibri" w:cs="Calibri"/>
                <w:sz w:val="20"/>
                <w:szCs w:val="20"/>
              </w:rPr>
              <w:t>kom.: + 48 607 146 583</w:t>
            </w:r>
          </w:p>
          <w:p w14:paraId="00000028" w14:textId="77777777" w:rsidR="007B210D" w:rsidRPr="00090F2F" w:rsidRDefault="00B52709">
            <w:pPr>
              <w:spacing w:line="240" w:lineRule="auto"/>
              <w:ind w:left="-108"/>
              <w:jc w:val="both"/>
              <w:rPr>
                <w:rFonts w:ascii="Calibri" w:hAnsi="Calibri" w:cs="Calibri"/>
                <w:sz w:val="20"/>
                <w:szCs w:val="20"/>
              </w:rPr>
            </w:pPr>
            <w:r w:rsidRPr="00090F2F">
              <w:rPr>
                <w:rFonts w:ascii="Calibri" w:hAnsi="Calibri" w:cs="Calibri"/>
                <w:sz w:val="20"/>
                <w:szCs w:val="20"/>
              </w:rPr>
              <w:t>diana.borowiecka@big.pl</w:t>
            </w:r>
          </w:p>
        </w:tc>
        <w:tc>
          <w:tcPr>
            <w:tcW w:w="3340" w:type="dxa"/>
          </w:tcPr>
          <w:p w14:paraId="00000029" w14:textId="77777777" w:rsidR="007B210D" w:rsidRPr="00090F2F" w:rsidRDefault="007B210D">
            <w:pPr>
              <w:spacing w:line="240" w:lineRule="auto"/>
              <w:ind w:left="-108"/>
              <w:jc w:val="both"/>
              <w:rPr>
                <w:rFonts w:ascii="Calibri" w:hAnsi="Calibri" w:cs="Calibri"/>
                <w:sz w:val="20"/>
                <w:szCs w:val="20"/>
              </w:rPr>
            </w:pPr>
          </w:p>
        </w:tc>
        <w:tc>
          <w:tcPr>
            <w:tcW w:w="3340" w:type="dxa"/>
          </w:tcPr>
          <w:p w14:paraId="0000002A" w14:textId="77777777" w:rsidR="007B210D" w:rsidRPr="00090F2F" w:rsidRDefault="007B210D">
            <w:pPr>
              <w:spacing w:line="240" w:lineRule="auto"/>
              <w:jc w:val="both"/>
              <w:rPr>
                <w:rFonts w:ascii="Calibri" w:hAnsi="Calibri" w:cs="Calibri"/>
                <w:sz w:val="20"/>
                <w:szCs w:val="20"/>
              </w:rPr>
            </w:pPr>
          </w:p>
        </w:tc>
      </w:tr>
    </w:tbl>
    <w:p w14:paraId="0000002B" w14:textId="77777777" w:rsidR="007B210D" w:rsidRDefault="007B210D">
      <w:pPr>
        <w:jc w:val="both"/>
        <w:rPr>
          <w:rFonts w:ascii="Calibri" w:eastAsia="Calibri" w:hAnsi="Calibri" w:cs="Calibri"/>
          <w:color w:val="222222"/>
          <w:highlight w:val="white"/>
        </w:rPr>
      </w:pPr>
      <w:bookmarkStart w:id="0" w:name="_heading=h.gjver89p5da4" w:colFirst="0" w:colLast="0"/>
      <w:bookmarkEnd w:id="0"/>
    </w:p>
    <w:sectPr w:rsidR="007B210D">
      <w:headerReference w:type="default" r:id="rId9"/>
      <w:footerReference w:type="even" r:id="rId10"/>
      <w:footerReference w:type="default" r:id="rId11"/>
      <w:footerReference w:type="first" r:id="rId12"/>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57221" w14:textId="77777777" w:rsidR="00BA6ADA" w:rsidRDefault="00BA6ADA">
      <w:pPr>
        <w:spacing w:line="240" w:lineRule="auto"/>
      </w:pPr>
      <w:r>
        <w:separator/>
      </w:r>
    </w:p>
  </w:endnote>
  <w:endnote w:type="continuationSeparator" w:id="0">
    <w:p w14:paraId="4C065411" w14:textId="77777777" w:rsidR="00BA6ADA" w:rsidRDefault="00BA6A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D" w14:textId="77777777" w:rsidR="007B210D" w:rsidRDefault="00B52709">
    <w:pPr>
      <w:pBdr>
        <w:top w:val="nil"/>
        <w:left w:val="nil"/>
        <w:bottom w:val="nil"/>
        <w:right w:val="nil"/>
        <w:between w:val="nil"/>
      </w:pBdr>
      <w:tabs>
        <w:tab w:val="center" w:pos="4536"/>
        <w:tab w:val="right" w:pos="9072"/>
      </w:tabs>
      <w:spacing w:line="240" w:lineRule="auto"/>
      <w:rPr>
        <w:color w:val="000000"/>
      </w:rPr>
    </w:pPr>
    <w:r>
      <w:rPr>
        <w:noProof/>
        <w:lang w:val="pl-PL"/>
      </w:rPr>
      <mc:AlternateContent>
        <mc:Choice Requires="wps">
          <w:drawing>
            <wp:anchor distT="0" distB="0" distL="0" distR="0" simplePos="0" relativeHeight="251662336" behindDoc="0" locked="0" layoutInCell="1" hidden="0" allowOverlap="1" wp14:anchorId="1D921BDE" wp14:editId="0943D2F7">
              <wp:simplePos x="0" y="0"/>
              <wp:positionH relativeFrom="column">
                <wp:posOffset>3644900</wp:posOffset>
              </wp:positionH>
              <wp:positionV relativeFrom="paragraph">
                <wp:posOffset>0</wp:posOffset>
              </wp:positionV>
              <wp:extent cx="1172845" cy="378460"/>
              <wp:effectExtent l="0" t="0" r="0" b="0"/>
              <wp:wrapNone/>
              <wp:docPr id="961745380" name="Prostokąt 961745380" descr="Informacje Jawne"/>
              <wp:cNvGraphicFramePr/>
              <a:graphic xmlns:a="http://schemas.openxmlformats.org/drawingml/2006/main">
                <a:graphicData uri="http://schemas.microsoft.com/office/word/2010/wordprocessingShape">
                  <wps:wsp>
                    <wps:cNvSpPr/>
                    <wps:spPr>
                      <a:xfrm>
                        <a:off x="4764340" y="3595533"/>
                        <a:ext cx="1163320" cy="368935"/>
                      </a:xfrm>
                      <a:prstGeom prst="rect">
                        <a:avLst/>
                      </a:prstGeom>
                      <a:noFill/>
                      <a:ln>
                        <a:noFill/>
                      </a:ln>
                    </wps:spPr>
                    <wps:txbx>
                      <w:txbxContent>
                        <w:p w14:paraId="6F5DA28F" w14:textId="77777777" w:rsidR="007B210D" w:rsidRDefault="00B52709">
                          <w:pPr>
                            <w:spacing w:line="275" w:lineRule="auto"/>
                            <w:textDirection w:val="btLr"/>
                          </w:pPr>
                          <w:r>
                            <w:rPr>
                              <w:rFonts w:ascii="Calibri" w:eastAsia="Calibri" w:hAnsi="Calibri" w:cs="Calibri"/>
                              <w:color w:val="008000"/>
                              <w:sz w:val="20"/>
                            </w:rPr>
                            <w:t>Informacje Jawne</w:t>
                          </w:r>
                        </w:p>
                      </w:txbxContent>
                    </wps:txbx>
                    <wps:bodyPr spcFirstLastPara="1" wrap="square" lIns="0" tIns="0" rIns="254000" bIns="190500" anchor="b" anchorCtr="0">
                      <a:noAutofit/>
                    </wps:bodyPr>
                  </wps:wsp>
                </a:graphicData>
              </a:graphic>
            </wp:anchor>
          </w:drawing>
        </mc:Choice>
        <mc:Fallback>
          <w:pict>
            <v:rect w14:anchorId="1D921BDE" id="Prostokąt 961745380" o:spid="_x0000_s1026" alt="Informacje Jawne" style="position:absolute;margin-left:287pt;margin-top:0;width:92.35pt;height:29.8pt;z-index:251662336;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" filled="f" stroked="f">
              <v:textbox inset="0,0,20pt,15pt">
                <w:txbxContent>
                  <w:p w14:paraId="6F5DA28F" w14:textId="77777777" w:rsidR="007B210D" w:rsidRDefault="00B52709">
                    <w:pPr>
                      <w:spacing w:line="275" w:lineRule="auto"/>
                      <w:textDirection w:val="btLr"/>
                    </w:pPr>
                    <w:r>
                      <w:rPr>
                        <w:rFonts w:ascii="Calibri" w:eastAsia="Calibri" w:hAnsi="Calibri" w:cs="Calibri"/>
                        <w:color w:val="008000"/>
                        <w:sz w:val="20"/>
                      </w:rPr>
                      <w:t>Informacje Jawne</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E" w14:textId="77777777" w:rsidR="007B210D" w:rsidRDefault="00B52709">
    <w:r>
      <w:rPr>
        <w:noProof/>
        <w:lang w:val="pl-PL"/>
      </w:rPr>
      <mc:AlternateContent>
        <mc:Choice Requires="wps">
          <w:drawing>
            <wp:anchor distT="45720" distB="45720" distL="114300" distR="114300" simplePos="0" relativeHeight="251659264" behindDoc="0" locked="0" layoutInCell="1" hidden="0" allowOverlap="1" wp14:anchorId="0A0113DE" wp14:editId="6663DFB9">
              <wp:simplePos x="0" y="0"/>
              <wp:positionH relativeFrom="column">
                <wp:posOffset>114300</wp:posOffset>
              </wp:positionH>
              <wp:positionV relativeFrom="paragraph">
                <wp:posOffset>45720</wp:posOffset>
              </wp:positionV>
              <wp:extent cx="4714875" cy="1528445"/>
              <wp:effectExtent l="0" t="0" r="0" b="0"/>
              <wp:wrapSquare wrapText="bothSides" distT="45720" distB="45720" distL="114300" distR="114300"/>
              <wp:docPr id="961745377" name="Prostokąt 961745377"/>
              <wp:cNvGraphicFramePr/>
              <a:graphic xmlns:a="http://schemas.openxmlformats.org/drawingml/2006/main">
                <a:graphicData uri="http://schemas.microsoft.com/office/word/2010/wordprocessingShape">
                  <wps:wsp>
                    <wps:cNvSpPr/>
                    <wps:spPr>
                      <a:xfrm>
                        <a:off x="3050475" y="3077690"/>
                        <a:ext cx="4591050" cy="1404620"/>
                      </a:xfrm>
                      <a:prstGeom prst="rect">
                        <a:avLst/>
                      </a:prstGeom>
                      <a:solidFill>
                        <a:srgbClr val="FFFFFF"/>
                      </a:solidFill>
                      <a:ln>
                        <a:noFill/>
                      </a:ln>
                    </wps:spPr>
                    <wps:txbx>
                      <w:txbxContent>
                        <w:p w14:paraId="210F5BD7" w14:textId="77777777" w:rsidR="007B210D" w:rsidRDefault="00B52709">
                          <w:pPr>
                            <w:spacing w:line="240" w:lineRule="auto"/>
                            <w:textDirection w:val="btLr"/>
                          </w:pPr>
                          <w:r>
                            <w:rPr>
                              <w:rFonts w:ascii="Calibri" w:eastAsia="Calibri" w:hAnsi="Calibri" w:cs="Calibri"/>
                              <w:b/>
                              <w:color w:val="BFBFBF"/>
                              <w:sz w:val="16"/>
                            </w:rPr>
                            <w:t>Biuro Informacji Gospodarczej InfoMonitor S.A</w:t>
                          </w:r>
                          <w:r>
                            <w:rPr>
                              <w:rFonts w:ascii="Calibri" w:eastAsia="Calibri" w:hAnsi="Calibri" w:cs="Calibri"/>
                              <w:color w:val="BFBFBF"/>
                              <w:sz w:val="16"/>
                            </w:rPr>
                            <w:t xml:space="preserve">. </w:t>
                          </w:r>
                          <w:r>
                            <w:rPr>
                              <w:rFonts w:ascii="Calibri" w:eastAsia="Calibri" w:hAnsi="Calibri" w:cs="Calibri"/>
                              <w:color w:val="BFBFBF"/>
                              <w:sz w:val="16"/>
                            </w:rPr>
                            <w:br/>
                            <w:t>ul. Z. Modzelewskiego 77A, 02-679 Warszawa</w:t>
                          </w:r>
                        </w:p>
                        <w:p w14:paraId="65431CBF" w14:textId="77777777" w:rsidR="007B210D" w:rsidRPr="00DF0CDF" w:rsidRDefault="00B52709">
                          <w:pPr>
                            <w:spacing w:line="240" w:lineRule="auto"/>
                            <w:textDirection w:val="btLr"/>
                            <w:rPr>
                              <w:lang w:val="en-GB"/>
                            </w:rPr>
                          </w:pPr>
                          <w:r w:rsidRPr="00DF0CDF">
                            <w:rPr>
                              <w:rFonts w:ascii="Calibri" w:eastAsia="Calibri" w:hAnsi="Calibri" w:cs="Calibri"/>
                              <w:color w:val="BFBFBF"/>
                              <w:sz w:val="16"/>
                              <w:lang w:val="en-GB"/>
                            </w:rPr>
                            <w:t xml:space="preserve">tel. +48 22 486 5656, e-mail: </w:t>
                          </w:r>
                          <w:r w:rsidRPr="00DF0CDF">
                            <w:rPr>
                              <w:rFonts w:ascii="Calibri" w:eastAsia="Calibri" w:hAnsi="Calibri" w:cs="Calibri"/>
                              <w:color w:val="BFBFBF"/>
                              <w:sz w:val="16"/>
                              <w:u w:val="single"/>
                              <w:lang w:val="en-GB"/>
                            </w:rPr>
                            <w:t>biuro@big.pl</w:t>
                          </w:r>
                        </w:p>
                      </w:txbxContent>
                    </wps:txbx>
                    <wps:bodyPr spcFirstLastPara="1" wrap="square" lIns="91425" tIns="45700" rIns="91425" bIns="45700" anchor="t" anchorCtr="0">
                      <a:noAutofit/>
                    </wps:bodyPr>
                  </wps:wsp>
                </a:graphicData>
              </a:graphic>
            </wp:anchor>
          </w:drawing>
        </mc:Choice>
        <mc:Fallback>
          <w:pict>
            <v:rect w14:anchorId="0A0113DE" id="Prostokąt 961745377" o:spid="_x0000_s1027" style="position:absolute;margin-left:9pt;margin-top:3.6pt;width:371.25pt;height:120.3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" stroked="f">
              <v:textbox inset="2.53958mm,1.2694mm,2.53958mm,1.2694mm">
                <w:txbxContent>
                  <w:p w14:paraId="210F5BD7" w14:textId="77777777" w:rsidR="007B210D" w:rsidRDefault="00B52709">
                    <w:pPr>
                      <w:spacing w:line="240" w:lineRule="auto"/>
                      <w:textDirection w:val="btLr"/>
                    </w:pPr>
                    <w:r>
                      <w:rPr>
                        <w:rFonts w:ascii="Calibri" w:eastAsia="Calibri" w:hAnsi="Calibri" w:cs="Calibri"/>
                        <w:b/>
                        <w:color w:val="BFBFBF"/>
                        <w:sz w:val="16"/>
                      </w:rPr>
                      <w:t>Biuro Informacji Gospodarczej InfoMonitor S.A</w:t>
                    </w:r>
                    <w:r>
                      <w:rPr>
                        <w:rFonts w:ascii="Calibri" w:eastAsia="Calibri" w:hAnsi="Calibri" w:cs="Calibri"/>
                        <w:color w:val="BFBFBF"/>
                        <w:sz w:val="16"/>
                      </w:rPr>
                      <w:t xml:space="preserve">. </w:t>
                    </w:r>
                    <w:r>
                      <w:rPr>
                        <w:rFonts w:ascii="Calibri" w:eastAsia="Calibri" w:hAnsi="Calibri" w:cs="Calibri"/>
                        <w:color w:val="BFBFBF"/>
                        <w:sz w:val="16"/>
                      </w:rPr>
                      <w:br/>
                      <w:t>ul. Z. Modzelewskiego 77A, 02-679 Warszawa</w:t>
                    </w:r>
                  </w:p>
                  <w:p w14:paraId="65431CBF" w14:textId="77777777" w:rsidR="007B210D" w:rsidRPr="00DF0CDF" w:rsidRDefault="00B52709">
                    <w:pPr>
                      <w:spacing w:line="240" w:lineRule="auto"/>
                      <w:textDirection w:val="btLr"/>
                      <w:rPr>
                        <w:lang w:val="en-GB"/>
                      </w:rPr>
                    </w:pPr>
                    <w:r w:rsidRPr="00DF0CDF">
                      <w:rPr>
                        <w:rFonts w:ascii="Calibri" w:eastAsia="Calibri" w:hAnsi="Calibri" w:cs="Calibri"/>
                        <w:color w:val="BFBFBF"/>
                        <w:sz w:val="16"/>
                        <w:lang w:val="en-GB"/>
                      </w:rPr>
                      <w:t xml:space="preserve">tel. +48 22 486 5656, e-mail: </w:t>
                    </w:r>
                    <w:r w:rsidRPr="00DF0CDF">
                      <w:rPr>
                        <w:rFonts w:ascii="Calibri" w:eastAsia="Calibri" w:hAnsi="Calibri" w:cs="Calibri"/>
                        <w:color w:val="BFBFBF"/>
                        <w:sz w:val="16"/>
                        <w:u w:val="single"/>
                        <w:lang w:val="en-GB"/>
                      </w:rPr>
                      <w:t>biuro@big.pl</w:t>
                    </w:r>
                  </w:p>
                </w:txbxContent>
              </v:textbox>
              <w10:wrap type="square"/>
            </v:rect>
          </w:pict>
        </mc:Fallback>
      </mc:AlternateContent>
    </w:r>
    <w:r>
      <w:rPr>
        <w:noProof/>
        <w:lang w:val="pl-PL"/>
      </w:rPr>
      <mc:AlternateContent>
        <mc:Choice Requires="wps">
          <w:drawing>
            <wp:anchor distT="0" distB="0" distL="0" distR="0" simplePos="0" relativeHeight="251660288" behindDoc="0" locked="0" layoutInCell="1" hidden="0" allowOverlap="1" wp14:anchorId="208A9F44" wp14:editId="010CAC21">
              <wp:simplePos x="0" y="0"/>
              <wp:positionH relativeFrom="column">
                <wp:posOffset>3644900</wp:posOffset>
              </wp:positionH>
              <wp:positionV relativeFrom="paragraph">
                <wp:posOffset>0</wp:posOffset>
              </wp:positionV>
              <wp:extent cx="1172845" cy="378460"/>
              <wp:effectExtent l="0" t="0" r="0" b="0"/>
              <wp:wrapNone/>
              <wp:docPr id="961745379" name="Prostokąt 961745379" descr="Informacje Jawne"/>
              <wp:cNvGraphicFramePr/>
              <a:graphic xmlns:a="http://schemas.openxmlformats.org/drawingml/2006/main">
                <a:graphicData uri="http://schemas.microsoft.com/office/word/2010/wordprocessingShape">
                  <wps:wsp>
                    <wps:cNvSpPr/>
                    <wps:spPr>
                      <a:xfrm>
                        <a:off x="4764340" y="3595533"/>
                        <a:ext cx="1163320" cy="368935"/>
                      </a:xfrm>
                      <a:prstGeom prst="rect">
                        <a:avLst/>
                      </a:prstGeom>
                      <a:noFill/>
                      <a:ln>
                        <a:noFill/>
                      </a:ln>
                    </wps:spPr>
                    <wps:txbx>
                      <w:txbxContent>
                        <w:p w14:paraId="08FE64FA" w14:textId="77777777" w:rsidR="007B210D" w:rsidRDefault="00B52709">
                          <w:pPr>
                            <w:spacing w:line="275" w:lineRule="auto"/>
                            <w:textDirection w:val="btLr"/>
                          </w:pPr>
                          <w:r>
                            <w:rPr>
                              <w:rFonts w:ascii="Calibri" w:eastAsia="Calibri" w:hAnsi="Calibri" w:cs="Calibri"/>
                              <w:color w:val="008000"/>
                              <w:sz w:val="20"/>
                            </w:rPr>
                            <w:t>Informacje Jawne</w:t>
                          </w:r>
                        </w:p>
                      </w:txbxContent>
                    </wps:txbx>
                    <wps:bodyPr spcFirstLastPara="1" wrap="square" lIns="0" tIns="0" rIns="254000" bIns="190500" anchor="b" anchorCtr="0">
                      <a:noAutofit/>
                    </wps:bodyPr>
                  </wps:wsp>
                </a:graphicData>
              </a:graphic>
            </wp:anchor>
          </w:drawing>
        </mc:Choice>
        <mc:Fallback>
          <w:pict>
            <v:rect w14:anchorId="208A9F44" id="Prostokąt 961745379" o:spid="_x0000_s1028" alt="Informacje Jawne" style="position:absolute;margin-left:287pt;margin-top:0;width:92.35pt;height:29.8pt;z-index:251660288;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" filled="f" stroked="f">
              <v:textbox inset="0,0,20pt,15pt">
                <w:txbxContent>
                  <w:p w14:paraId="08FE64FA" w14:textId="77777777" w:rsidR="007B210D" w:rsidRDefault="00B52709">
                    <w:pPr>
                      <w:spacing w:line="275" w:lineRule="auto"/>
                      <w:textDirection w:val="btLr"/>
                    </w:pPr>
                    <w:r>
                      <w:rPr>
                        <w:rFonts w:ascii="Calibri" w:eastAsia="Calibri" w:hAnsi="Calibri" w:cs="Calibri"/>
                        <w:color w:val="008000"/>
                        <w:sz w:val="20"/>
                      </w:rPr>
                      <w:t>Informacje Jawne</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F" w14:textId="77777777" w:rsidR="007B210D" w:rsidRDefault="00B52709">
    <w:pPr>
      <w:pBdr>
        <w:top w:val="nil"/>
        <w:left w:val="nil"/>
        <w:bottom w:val="nil"/>
        <w:right w:val="nil"/>
        <w:between w:val="nil"/>
      </w:pBdr>
      <w:tabs>
        <w:tab w:val="center" w:pos="4536"/>
        <w:tab w:val="right" w:pos="9072"/>
      </w:tabs>
      <w:spacing w:line="240" w:lineRule="auto"/>
      <w:rPr>
        <w:color w:val="000000"/>
      </w:rPr>
    </w:pPr>
    <w:r>
      <w:rPr>
        <w:noProof/>
        <w:lang w:val="pl-PL"/>
      </w:rPr>
      <mc:AlternateContent>
        <mc:Choice Requires="wps">
          <w:drawing>
            <wp:anchor distT="0" distB="0" distL="0" distR="0" simplePos="0" relativeHeight="251661312" behindDoc="0" locked="0" layoutInCell="1" hidden="0" allowOverlap="1" wp14:anchorId="5E3418D9" wp14:editId="0FAA12C7">
              <wp:simplePos x="0" y="0"/>
              <wp:positionH relativeFrom="column">
                <wp:posOffset>3644900</wp:posOffset>
              </wp:positionH>
              <wp:positionV relativeFrom="paragraph">
                <wp:posOffset>0</wp:posOffset>
              </wp:positionV>
              <wp:extent cx="1172845" cy="378460"/>
              <wp:effectExtent l="0" t="0" r="0" b="0"/>
              <wp:wrapNone/>
              <wp:docPr id="961745378" name="Prostokąt 961745378" descr="Informacje Jawne"/>
              <wp:cNvGraphicFramePr/>
              <a:graphic xmlns:a="http://schemas.openxmlformats.org/drawingml/2006/main">
                <a:graphicData uri="http://schemas.microsoft.com/office/word/2010/wordprocessingShape">
                  <wps:wsp>
                    <wps:cNvSpPr/>
                    <wps:spPr>
                      <a:xfrm>
                        <a:off x="4764340" y="3595533"/>
                        <a:ext cx="1163320" cy="368935"/>
                      </a:xfrm>
                      <a:prstGeom prst="rect">
                        <a:avLst/>
                      </a:prstGeom>
                      <a:noFill/>
                      <a:ln>
                        <a:noFill/>
                      </a:ln>
                    </wps:spPr>
                    <wps:txbx>
                      <w:txbxContent>
                        <w:p w14:paraId="2F2EBB91" w14:textId="77777777" w:rsidR="007B210D" w:rsidRDefault="00B52709">
                          <w:pPr>
                            <w:spacing w:line="275" w:lineRule="auto"/>
                            <w:textDirection w:val="btLr"/>
                          </w:pPr>
                          <w:r>
                            <w:rPr>
                              <w:rFonts w:ascii="Calibri" w:eastAsia="Calibri" w:hAnsi="Calibri" w:cs="Calibri"/>
                              <w:color w:val="008000"/>
                              <w:sz w:val="20"/>
                            </w:rPr>
                            <w:t>Informacje Jawne</w:t>
                          </w:r>
                        </w:p>
                      </w:txbxContent>
                    </wps:txbx>
                    <wps:bodyPr spcFirstLastPara="1" wrap="square" lIns="0" tIns="0" rIns="254000" bIns="190500" anchor="b" anchorCtr="0">
                      <a:noAutofit/>
                    </wps:bodyPr>
                  </wps:wsp>
                </a:graphicData>
              </a:graphic>
            </wp:anchor>
          </w:drawing>
        </mc:Choice>
        <mc:Fallback>
          <w:pict>
            <v:rect w14:anchorId="5E3418D9" id="Prostokąt 961745378" o:spid="_x0000_s1029" alt="Informacje Jawne" style="position:absolute;margin-left:287pt;margin-top:0;width:92.35pt;height:29.8pt;z-index:251661312;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" filled="f" stroked="f">
              <v:textbox inset="0,0,20pt,15pt">
                <w:txbxContent>
                  <w:p w14:paraId="2F2EBB91" w14:textId="77777777" w:rsidR="007B210D" w:rsidRDefault="00B52709">
                    <w:pPr>
                      <w:spacing w:line="275" w:lineRule="auto"/>
                      <w:textDirection w:val="btLr"/>
                    </w:pPr>
                    <w:r>
                      <w:rPr>
                        <w:rFonts w:ascii="Calibri" w:eastAsia="Calibri" w:hAnsi="Calibri" w:cs="Calibri"/>
                        <w:color w:val="008000"/>
                        <w:sz w:val="20"/>
                      </w:rPr>
                      <w:t>Informacje Jawne</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CC2F7" w14:textId="77777777" w:rsidR="00BA6ADA" w:rsidRDefault="00BA6ADA">
      <w:pPr>
        <w:spacing w:line="240" w:lineRule="auto"/>
      </w:pPr>
      <w:r>
        <w:separator/>
      </w:r>
    </w:p>
  </w:footnote>
  <w:footnote w:type="continuationSeparator" w:id="0">
    <w:p w14:paraId="6C00F7E9" w14:textId="77777777" w:rsidR="00BA6ADA" w:rsidRDefault="00BA6A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C" w14:textId="77777777" w:rsidR="007B210D" w:rsidRDefault="00B52709">
    <w:r>
      <w:rPr>
        <w:noProof/>
        <w:lang w:val="pl-PL"/>
      </w:rPr>
      <w:drawing>
        <wp:anchor distT="0" distB="0" distL="0" distR="0" simplePos="0" relativeHeight="251658240" behindDoc="0" locked="0" layoutInCell="1" hidden="0" allowOverlap="1" wp14:anchorId="2AD3C725" wp14:editId="198BA6FE">
          <wp:simplePos x="0" y="0"/>
          <wp:positionH relativeFrom="column">
            <wp:posOffset>0</wp:posOffset>
          </wp:positionH>
          <wp:positionV relativeFrom="paragraph">
            <wp:posOffset>0</wp:posOffset>
          </wp:positionV>
          <wp:extent cx="2266950" cy="1197584"/>
          <wp:effectExtent l="0" t="0" r="0" b="0"/>
          <wp:wrapTopAndBottom distT="0" distB="0"/>
          <wp:docPr id="9617453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6950" cy="119758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C5AFB"/>
    <w:multiLevelType w:val="hybridMultilevel"/>
    <w:tmpl w:val="4DB8FBAC"/>
    <w:lvl w:ilvl="0" w:tplc="8DF0B73E">
      <w:numFmt w:val="bullet"/>
      <w:lvlText w:val="-"/>
      <w:lvlJc w:val="left"/>
      <w:pPr>
        <w:ind w:left="410" w:hanging="360"/>
      </w:pPr>
      <w:rPr>
        <w:rFonts w:ascii="Calibri" w:eastAsia="Calibri" w:hAnsi="Calibri" w:cs="Calibri" w:hint="default"/>
      </w:rPr>
    </w:lvl>
    <w:lvl w:ilvl="1" w:tplc="04150003" w:tentative="1">
      <w:start w:val="1"/>
      <w:numFmt w:val="bullet"/>
      <w:lvlText w:val="o"/>
      <w:lvlJc w:val="left"/>
      <w:pPr>
        <w:ind w:left="1130" w:hanging="360"/>
      </w:pPr>
      <w:rPr>
        <w:rFonts w:ascii="Courier New" w:hAnsi="Courier New" w:cs="Courier New" w:hint="default"/>
      </w:rPr>
    </w:lvl>
    <w:lvl w:ilvl="2" w:tplc="04150005" w:tentative="1">
      <w:start w:val="1"/>
      <w:numFmt w:val="bullet"/>
      <w:lvlText w:val=""/>
      <w:lvlJc w:val="left"/>
      <w:pPr>
        <w:ind w:left="1850" w:hanging="360"/>
      </w:pPr>
      <w:rPr>
        <w:rFonts w:ascii="Wingdings" w:hAnsi="Wingdings" w:hint="default"/>
      </w:rPr>
    </w:lvl>
    <w:lvl w:ilvl="3" w:tplc="04150001" w:tentative="1">
      <w:start w:val="1"/>
      <w:numFmt w:val="bullet"/>
      <w:lvlText w:val=""/>
      <w:lvlJc w:val="left"/>
      <w:pPr>
        <w:ind w:left="2570" w:hanging="360"/>
      </w:pPr>
      <w:rPr>
        <w:rFonts w:ascii="Symbol" w:hAnsi="Symbol" w:hint="default"/>
      </w:rPr>
    </w:lvl>
    <w:lvl w:ilvl="4" w:tplc="04150003" w:tentative="1">
      <w:start w:val="1"/>
      <w:numFmt w:val="bullet"/>
      <w:lvlText w:val="o"/>
      <w:lvlJc w:val="left"/>
      <w:pPr>
        <w:ind w:left="3290" w:hanging="360"/>
      </w:pPr>
      <w:rPr>
        <w:rFonts w:ascii="Courier New" w:hAnsi="Courier New" w:cs="Courier New" w:hint="default"/>
      </w:rPr>
    </w:lvl>
    <w:lvl w:ilvl="5" w:tplc="04150005" w:tentative="1">
      <w:start w:val="1"/>
      <w:numFmt w:val="bullet"/>
      <w:lvlText w:val=""/>
      <w:lvlJc w:val="left"/>
      <w:pPr>
        <w:ind w:left="4010" w:hanging="360"/>
      </w:pPr>
      <w:rPr>
        <w:rFonts w:ascii="Wingdings" w:hAnsi="Wingdings" w:hint="default"/>
      </w:rPr>
    </w:lvl>
    <w:lvl w:ilvl="6" w:tplc="04150001" w:tentative="1">
      <w:start w:val="1"/>
      <w:numFmt w:val="bullet"/>
      <w:lvlText w:val=""/>
      <w:lvlJc w:val="left"/>
      <w:pPr>
        <w:ind w:left="4730" w:hanging="360"/>
      </w:pPr>
      <w:rPr>
        <w:rFonts w:ascii="Symbol" w:hAnsi="Symbol" w:hint="default"/>
      </w:rPr>
    </w:lvl>
    <w:lvl w:ilvl="7" w:tplc="04150003" w:tentative="1">
      <w:start w:val="1"/>
      <w:numFmt w:val="bullet"/>
      <w:lvlText w:val="o"/>
      <w:lvlJc w:val="left"/>
      <w:pPr>
        <w:ind w:left="5450" w:hanging="360"/>
      </w:pPr>
      <w:rPr>
        <w:rFonts w:ascii="Courier New" w:hAnsi="Courier New" w:cs="Courier New" w:hint="default"/>
      </w:rPr>
    </w:lvl>
    <w:lvl w:ilvl="8" w:tplc="04150005" w:tentative="1">
      <w:start w:val="1"/>
      <w:numFmt w:val="bullet"/>
      <w:lvlText w:val=""/>
      <w:lvlJc w:val="left"/>
      <w:pPr>
        <w:ind w:left="6170" w:hanging="360"/>
      </w:pPr>
      <w:rPr>
        <w:rFonts w:ascii="Wingdings" w:hAnsi="Wingdings" w:hint="default"/>
      </w:rPr>
    </w:lvl>
  </w:abstractNum>
  <w:abstractNum w:abstractNumId="1" w15:restartNumberingAfterBreak="0">
    <w:nsid w:val="721024C2"/>
    <w:multiLevelType w:val="hybridMultilevel"/>
    <w:tmpl w:val="385EC446"/>
    <w:lvl w:ilvl="0" w:tplc="456A5278">
      <w:numFmt w:val="bullet"/>
      <w:lvlText w:val="-"/>
      <w:lvlJc w:val="left"/>
      <w:pPr>
        <w:ind w:left="410" w:hanging="360"/>
      </w:pPr>
      <w:rPr>
        <w:rFonts w:ascii="Calibri" w:eastAsia="Calibri" w:hAnsi="Calibri" w:cs="Calibri" w:hint="default"/>
      </w:rPr>
    </w:lvl>
    <w:lvl w:ilvl="1" w:tplc="04150003" w:tentative="1">
      <w:start w:val="1"/>
      <w:numFmt w:val="bullet"/>
      <w:lvlText w:val="o"/>
      <w:lvlJc w:val="left"/>
      <w:pPr>
        <w:ind w:left="1130" w:hanging="360"/>
      </w:pPr>
      <w:rPr>
        <w:rFonts w:ascii="Courier New" w:hAnsi="Courier New" w:cs="Courier New" w:hint="default"/>
      </w:rPr>
    </w:lvl>
    <w:lvl w:ilvl="2" w:tplc="04150005" w:tentative="1">
      <w:start w:val="1"/>
      <w:numFmt w:val="bullet"/>
      <w:lvlText w:val=""/>
      <w:lvlJc w:val="left"/>
      <w:pPr>
        <w:ind w:left="1850" w:hanging="360"/>
      </w:pPr>
      <w:rPr>
        <w:rFonts w:ascii="Wingdings" w:hAnsi="Wingdings" w:hint="default"/>
      </w:rPr>
    </w:lvl>
    <w:lvl w:ilvl="3" w:tplc="04150001" w:tentative="1">
      <w:start w:val="1"/>
      <w:numFmt w:val="bullet"/>
      <w:lvlText w:val=""/>
      <w:lvlJc w:val="left"/>
      <w:pPr>
        <w:ind w:left="2570" w:hanging="360"/>
      </w:pPr>
      <w:rPr>
        <w:rFonts w:ascii="Symbol" w:hAnsi="Symbol" w:hint="default"/>
      </w:rPr>
    </w:lvl>
    <w:lvl w:ilvl="4" w:tplc="04150003" w:tentative="1">
      <w:start w:val="1"/>
      <w:numFmt w:val="bullet"/>
      <w:lvlText w:val="o"/>
      <w:lvlJc w:val="left"/>
      <w:pPr>
        <w:ind w:left="3290" w:hanging="360"/>
      </w:pPr>
      <w:rPr>
        <w:rFonts w:ascii="Courier New" w:hAnsi="Courier New" w:cs="Courier New" w:hint="default"/>
      </w:rPr>
    </w:lvl>
    <w:lvl w:ilvl="5" w:tplc="04150005" w:tentative="1">
      <w:start w:val="1"/>
      <w:numFmt w:val="bullet"/>
      <w:lvlText w:val=""/>
      <w:lvlJc w:val="left"/>
      <w:pPr>
        <w:ind w:left="4010" w:hanging="360"/>
      </w:pPr>
      <w:rPr>
        <w:rFonts w:ascii="Wingdings" w:hAnsi="Wingdings" w:hint="default"/>
      </w:rPr>
    </w:lvl>
    <w:lvl w:ilvl="6" w:tplc="04150001" w:tentative="1">
      <w:start w:val="1"/>
      <w:numFmt w:val="bullet"/>
      <w:lvlText w:val=""/>
      <w:lvlJc w:val="left"/>
      <w:pPr>
        <w:ind w:left="4730" w:hanging="360"/>
      </w:pPr>
      <w:rPr>
        <w:rFonts w:ascii="Symbol" w:hAnsi="Symbol" w:hint="default"/>
      </w:rPr>
    </w:lvl>
    <w:lvl w:ilvl="7" w:tplc="04150003" w:tentative="1">
      <w:start w:val="1"/>
      <w:numFmt w:val="bullet"/>
      <w:lvlText w:val="o"/>
      <w:lvlJc w:val="left"/>
      <w:pPr>
        <w:ind w:left="5450" w:hanging="360"/>
      </w:pPr>
      <w:rPr>
        <w:rFonts w:ascii="Courier New" w:hAnsi="Courier New" w:cs="Courier New" w:hint="default"/>
      </w:rPr>
    </w:lvl>
    <w:lvl w:ilvl="8" w:tplc="04150005" w:tentative="1">
      <w:start w:val="1"/>
      <w:numFmt w:val="bullet"/>
      <w:lvlText w:val=""/>
      <w:lvlJc w:val="left"/>
      <w:pPr>
        <w:ind w:left="6170" w:hanging="360"/>
      </w:pPr>
      <w:rPr>
        <w:rFonts w:ascii="Wingdings" w:hAnsi="Wingdings" w:hint="default"/>
      </w:rPr>
    </w:lvl>
  </w:abstractNum>
  <w:num w:numId="1" w16cid:durableId="911163853">
    <w:abstractNumId w:val="0"/>
  </w:num>
  <w:num w:numId="2" w16cid:durableId="1724913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10D"/>
    <w:rsid w:val="00004F5A"/>
    <w:rsid w:val="0000504B"/>
    <w:rsid w:val="00033BBF"/>
    <w:rsid w:val="000356BB"/>
    <w:rsid w:val="0004598A"/>
    <w:rsid w:val="000469A6"/>
    <w:rsid w:val="0008223E"/>
    <w:rsid w:val="00090F2F"/>
    <w:rsid w:val="00095262"/>
    <w:rsid w:val="000A14AA"/>
    <w:rsid w:val="000A3CB2"/>
    <w:rsid w:val="000A4380"/>
    <w:rsid w:val="000C03AE"/>
    <w:rsid w:val="000C0D1B"/>
    <w:rsid w:val="000D71A0"/>
    <w:rsid w:val="000D77DF"/>
    <w:rsid w:val="000E6731"/>
    <w:rsid w:val="000F239C"/>
    <w:rsid w:val="000F372A"/>
    <w:rsid w:val="00102761"/>
    <w:rsid w:val="00107516"/>
    <w:rsid w:val="00116933"/>
    <w:rsid w:val="0012284C"/>
    <w:rsid w:val="001348EA"/>
    <w:rsid w:val="00135354"/>
    <w:rsid w:val="001367A6"/>
    <w:rsid w:val="00154A81"/>
    <w:rsid w:val="001604B1"/>
    <w:rsid w:val="001658C3"/>
    <w:rsid w:val="001749AE"/>
    <w:rsid w:val="001760FC"/>
    <w:rsid w:val="00180DC3"/>
    <w:rsid w:val="0019533A"/>
    <w:rsid w:val="00197D73"/>
    <w:rsid w:val="001A2CE0"/>
    <w:rsid w:val="001A5E2B"/>
    <w:rsid w:val="001B2344"/>
    <w:rsid w:val="001C021D"/>
    <w:rsid w:val="001C4F4D"/>
    <w:rsid w:val="001D7C4F"/>
    <w:rsid w:val="001E00CD"/>
    <w:rsid w:val="001F44E2"/>
    <w:rsid w:val="001F7FEB"/>
    <w:rsid w:val="00203CA2"/>
    <w:rsid w:val="0020553C"/>
    <w:rsid w:val="00220A35"/>
    <w:rsid w:val="002428FD"/>
    <w:rsid w:val="00260CB5"/>
    <w:rsid w:val="00260EEA"/>
    <w:rsid w:val="0026601D"/>
    <w:rsid w:val="00283101"/>
    <w:rsid w:val="00286B37"/>
    <w:rsid w:val="00293134"/>
    <w:rsid w:val="002946DD"/>
    <w:rsid w:val="002A3F88"/>
    <w:rsid w:val="002A605D"/>
    <w:rsid w:val="002B3B1E"/>
    <w:rsid w:val="002B77F3"/>
    <w:rsid w:val="002C072D"/>
    <w:rsid w:val="002C08ED"/>
    <w:rsid w:val="002C49A8"/>
    <w:rsid w:val="002C7F4C"/>
    <w:rsid w:val="002E68D8"/>
    <w:rsid w:val="002F118F"/>
    <w:rsid w:val="002F3818"/>
    <w:rsid w:val="00307C8A"/>
    <w:rsid w:val="00310AC9"/>
    <w:rsid w:val="0031490A"/>
    <w:rsid w:val="00314E8D"/>
    <w:rsid w:val="00317EA7"/>
    <w:rsid w:val="00353A3E"/>
    <w:rsid w:val="00355728"/>
    <w:rsid w:val="0036641A"/>
    <w:rsid w:val="0037753C"/>
    <w:rsid w:val="00391B1F"/>
    <w:rsid w:val="003937DC"/>
    <w:rsid w:val="003A14B3"/>
    <w:rsid w:val="003A283A"/>
    <w:rsid w:val="003B347B"/>
    <w:rsid w:val="003B4776"/>
    <w:rsid w:val="003C660D"/>
    <w:rsid w:val="003C677C"/>
    <w:rsid w:val="003C7860"/>
    <w:rsid w:val="003C7E4A"/>
    <w:rsid w:val="003E4ED6"/>
    <w:rsid w:val="003F3BD2"/>
    <w:rsid w:val="003F46D2"/>
    <w:rsid w:val="00410AC6"/>
    <w:rsid w:val="004113B9"/>
    <w:rsid w:val="00413BE7"/>
    <w:rsid w:val="0041484B"/>
    <w:rsid w:val="00415AEF"/>
    <w:rsid w:val="00416EC2"/>
    <w:rsid w:val="004305B0"/>
    <w:rsid w:val="00431D84"/>
    <w:rsid w:val="00440500"/>
    <w:rsid w:val="00441156"/>
    <w:rsid w:val="00443035"/>
    <w:rsid w:val="004452ED"/>
    <w:rsid w:val="004518A0"/>
    <w:rsid w:val="004565E8"/>
    <w:rsid w:val="00463736"/>
    <w:rsid w:val="00464BE6"/>
    <w:rsid w:val="00490376"/>
    <w:rsid w:val="00492F2E"/>
    <w:rsid w:val="0049537F"/>
    <w:rsid w:val="004B401F"/>
    <w:rsid w:val="004B7F3B"/>
    <w:rsid w:val="004C5689"/>
    <w:rsid w:val="004D210C"/>
    <w:rsid w:val="004D578D"/>
    <w:rsid w:val="004D5FDF"/>
    <w:rsid w:val="004E318E"/>
    <w:rsid w:val="004E66A8"/>
    <w:rsid w:val="004F2592"/>
    <w:rsid w:val="004F3F28"/>
    <w:rsid w:val="004F5E4C"/>
    <w:rsid w:val="00511720"/>
    <w:rsid w:val="0051349F"/>
    <w:rsid w:val="00531943"/>
    <w:rsid w:val="005354A3"/>
    <w:rsid w:val="00540535"/>
    <w:rsid w:val="005530D9"/>
    <w:rsid w:val="00571752"/>
    <w:rsid w:val="005732E1"/>
    <w:rsid w:val="005737E7"/>
    <w:rsid w:val="00575CBE"/>
    <w:rsid w:val="00580E97"/>
    <w:rsid w:val="00594CD8"/>
    <w:rsid w:val="00596CB6"/>
    <w:rsid w:val="005A583F"/>
    <w:rsid w:val="005B1F0D"/>
    <w:rsid w:val="005B502A"/>
    <w:rsid w:val="005B57EA"/>
    <w:rsid w:val="005C260B"/>
    <w:rsid w:val="005C57B6"/>
    <w:rsid w:val="005D0105"/>
    <w:rsid w:val="005D4D8D"/>
    <w:rsid w:val="005D7314"/>
    <w:rsid w:val="005E6668"/>
    <w:rsid w:val="005F5B93"/>
    <w:rsid w:val="006022E9"/>
    <w:rsid w:val="00603084"/>
    <w:rsid w:val="0060312B"/>
    <w:rsid w:val="006038F6"/>
    <w:rsid w:val="00615A73"/>
    <w:rsid w:val="00623821"/>
    <w:rsid w:val="00630A24"/>
    <w:rsid w:val="00634EBA"/>
    <w:rsid w:val="00645217"/>
    <w:rsid w:val="00655F80"/>
    <w:rsid w:val="00660734"/>
    <w:rsid w:val="006709EC"/>
    <w:rsid w:val="006838AE"/>
    <w:rsid w:val="0068718E"/>
    <w:rsid w:val="00690861"/>
    <w:rsid w:val="006A6759"/>
    <w:rsid w:val="006B41A1"/>
    <w:rsid w:val="006C6164"/>
    <w:rsid w:val="006C7F32"/>
    <w:rsid w:val="006D250E"/>
    <w:rsid w:val="006D3986"/>
    <w:rsid w:val="006E001D"/>
    <w:rsid w:val="006F7C32"/>
    <w:rsid w:val="00700C1F"/>
    <w:rsid w:val="0070154B"/>
    <w:rsid w:val="007050B6"/>
    <w:rsid w:val="00712813"/>
    <w:rsid w:val="00734143"/>
    <w:rsid w:val="00737562"/>
    <w:rsid w:val="00744358"/>
    <w:rsid w:val="00747D45"/>
    <w:rsid w:val="00753343"/>
    <w:rsid w:val="00753975"/>
    <w:rsid w:val="00761B94"/>
    <w:rsid w:val="007626B0"/>
    <w:rsid w:val="0076478C"/>
    <w:rsid w:val="00783767"/>
    <w:rsid w:val="00787BD7"/>
    <w:rsid w:val="00796D1E"/>
    <w:rsid w:val="007B0950"/>
    <w:rsid w:val="007B210D"/>
    <w:rsid w:val="007B7D2D"/>
    <w:rsid w:val="007C5D3E"/>
    <w:rsid w:val="007C6AC5"/>
    <w:rsid w:val="007C6F7C"/>
    <w:rsid w:val="007D311F"/>
    <w:rsid w:val="007D42DA"/>
    <w:rsid w:val="00817F88"/>
    <w:rsid w:val="0084254E"/>
    <w:rsid w:val="00847EC3"/>
    <w:rsid w:val="00852F80"/>
    <w:rsid w:val="00871ECD"/>
    <w:rsid w:val="008737DF"/>
    <w:rsid w:val="00884983"/>
    <w:rsid w:val="00886927"/>
    <w:rsid w:val="0089176E"/>
    <w:rsid w:val="00893C2B"/>
    <w:rsid w:val="0089622D"/>
    <w:rsid w:val="008E4F0A"/>
    <w:rsid w:val="008F28D7"/>
    <w:rsid w:val="008F457E"/>
    <w:rsid w:val="008F4995"/>
    <w:rsid w:val="009127E1"/>
    <w:rsid w:val="00917F7B"/>
    <w:rsid w:val="009336A3"/>
    <w:rsid w:val="00935608"/>
    <w:rsid w:val="00947215"/>
    <w:rsid w:val="00951BE3"/>
    <w:rsid w:val="009540B4"/>
    <w:rsid w:val="009543CC"/>
    <w:rsid w:val="00960677"/>
    <w:rsid w:val="00963198"/>
    <w:rsid w:val="009677F6"/>
    <w:rsid w:val="00977E2E"/>
    <w:rsid w:val="00980E4A"/>
    <w:rsid w:val="0099648B"/>
    <w:rsid w:val="009A0A09"/>
    <w:rsid w:val="009B1074"/>
    <w:rsid w:val="009B1292"/>
    <w:rsid w:val="009C694B"/>
    <w:rsid w:val="009C7CE2"/>
    <w:rsid w:val="009F467B"/>
    <w:rsid w:val="00A047EB"/>
    <w:rsid w:val="00A1661F"/>
    <w:rsid w:val="00A16627"/>
    <w:rsid w:val="00A177A2"/>
    <w:rsid w:val="00A20D48"/>
    <w:rsid w:val="00A276F3"/>
    <w:rsid w:val="00A311E3"/>
    <w:rsid w:val="00A444E1"/>
    <w:rsid w:val="00A45565"/>
    <w:rsid w:val="00A45A2D"/>
    <w:rsid w:val="00A64C51"/>
    <w:rsid w:val="00A833D7"/>
    <w:rsid w:val="00A85B0A"/>
    <w:rsid w:val="00A91A9D"/>
    <w:rsid w:val="00A945BE"/>
    <w:rsid w:val="00A967C1"/>
    <w:rsid w:val="00AA50BB"/>
    <w:rsid w:val="00AB267E"/>
    <w:rsid w:val="00AC1CE0"/>
    <w:rsid w:val="00AC77D6"/>
    <w:rsid w:val="00AD653B"/>
    <w:rsid w:val="00AE4F7E"/>
    <w:rsid w:val="00AE6B74"/>
    <w:rsid w:val="00AF00AD"/>
    <w:rsid w:val="00AF217C"/>
    <w:rsid w:val="00AF7864"/>
    <w:rsid w:val="00B01E32"/>
    <w:rsid w:val="00B30585"/>
    <w:rsid w:val="00B33579"/>
    <w:rsid w:val="00B359FD"/>
    <w:rsid w:val="00B4680C"/>
    <w:rsid w:val="00B501FE"/>
    <w:rsid w:val="00B515F8"/>
    <w:rsid w:val="00B52709"/>
    <w:rsid w:val="00B565CD"/>
    <w:rsid w:val="00B62D69"/>
    <w:rsid w:val="00BA67AF"/>
    <w:rsid w:val="00BA6ADA"/>
    <w:rsid w:val="00BB1CA0"/>
    <w:rsid w:val="00BB79A6"/>
    <w:rsid w:val="00BC021E"/>
    <w:rsid w:val="00BC0C43"/>
    <w:rsid w:val="00BD204A"/>
    <w:rsid w:val="00BD22E2"/>
    <w:rsid w:val="00BF0432"/>
    <w:rsid w:val="00BF2361"/>
    <w:rsid w:val="00C00E82"/>
    <w:rsid w:val="00C01864"/>
    <w:rsid w:val="00C02002"/>
    <w:rsid w:val="00C22744"/>
    <w:rsid w:val="00C30EA8"/>
    <w:rsid w:val="00C373E5"/>
    <w:rsid w:val="00C40732"/>
    <w:rsid w:val="00C4741D"/>
    <w:rsid w:val="00C61E09"/>
    <w:rsid w:val="00C77041"/>
    <w:rsid w:val="00C819FE"/>
    <w:rsid w:val="00C92313"/>
    <w:rsid w:val="00C95D48"/>
    <w:rsid w:val="00CB5DF4"/>
    <w:rsid w:val="00CC111C"/>
    <w:rsid w:val="00CC39E1"/>
    <w:rsid w:val="00CC5C76"/>
    <w:rsid w:val="00CC7A08"/>
    <w:rsid w:val="00CD4B9C"/>
    <w:rsid w:val="00CE6103"/>
    <w:rsid w:val="00CF18F5"/>
    <w:rsid w:val="00D10233"/>
    <w:rsid w:val="00D113C1"/>
    <w:rsid w:val="00D23F23"/>
    <w:rsid w:val="00D26EC5"/>
    <w:rsid w:val="00D27881"/>
    <w:rsid w:val="00D27F28"/>
    <w:rsid w:val="00D31F89"/>
    <w:rsid w:val="00D460EC"/>
    <w:rsid w:val="00D62693"/>
    <w:rsid w:val="00D87B19"/>
    <w:rsid w:val="00D87E2E"/>
    <w:rsid w:val="00D92A36"/>
    <w:rsid w:val="00DA5DDF"/>
    <w:rsid w:val="00DB0602"/>
    <w:rsid w:val="00DC6425"/>
    <w:rsid w:val="00DD1D75"/>
    <w:rsid w:val="00DE5F91"/>
    <w:rsid w:val="00DF0CDF"/>
    <w:rsid w:val="00E02E41"/>
    <w:rsid w:val="00E03DA9"/>
    <w:rsid w:val="00E0456D"/>
    <w:rsid w:val="00E21E1E"/>
    <w:rsid w:val="00E2528B"/>
    <w:rsid w:val="00E26EF2"/>
    <w:rsid w:val="00E42E19"/>
    <w:rsid w:val="00E557B1"/>
    <w:rsid w:val="00E66924"/>
    <w:rsid w:val="00E73A2B"/>
    <w:rsid w:val="00EB1C84"/>
    <w:rsid w:val="00EB5564"/>
    <w:rsid w:val="00EC0FC8"/>
    <w:rsid w:val="00ED1C3A"/>
    <w:rsid w:val="00ED4A30"/>
    <w:rsid w:val="00EE5161"/>
    <w:rsid w:val="00EF7BCB"/>
    <w:rsid w:val="00F020C0"/>
    <w:rsid w:val="00F02E95"/>
    <w:rsid w:val="00F04470"/>
    <w:rsid w:val="00F17BA9"/>
    <w:rsid w:val="00F30543"/>
    <w:rsid w:val="00F35B33"/>
    <w:rsid w:val="00F468F8"/>
    <w:rsid w:val="00F620AD"/>
    <w:rsid w:val="00F66C6E"/>
    <w:rsid w:val="00F76059"/>
    <w:rsid w:val="00F84CDE"/>
    <w:rsid w:val="00F8758D"/>
    <w:rsid w:val="00F92C8A"/>
    <w:rsid w:val="00F953CD"/>
    <w:rsid w:val="00F96EF4"/>
    <w:rsid w:val="00F972E7"/>
    <w:rsid w:val="00FA58B6"/>
    <w:rsid w:val="00FB57E8"/>
    <w:rsid w:val="00FC10E3"/>
    <w:rsid w:val="00FD73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C6672"/>
  <w15:docId w15:val="{1C15E6B1-38CB-41BE-AE25-3B7E9F58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after="320"/>
    </w:pPr>
    <w:rPr>
      <w:color w:val="666666"/>
      <w:sz w:val="30"/>
      <w:szCs w:val="30"/>
    </w:rPr>
  </w:style>
  <w:style w:type="character" w:styleId="Odwoaniedokomentarza">
    <w:name w:val="annotation reference"/>
    <w:basedOn w:val="Domylnaczcionkaakapitu"/>
    <w:uiPriority w:val="99"/>
    <w:semiHidden/>
    <w:unhideWhenUsed/>
    <w:rsid w:val="00DB536A"/>
    <w:rPr>
      <w:sz w:val="16"/>
      <w:szCs w:val="16"/>
    </w:rPr>
  </w:style>
  <w:style w:type="paragraph" w:styleId="Tekstkomentarza">
    <w:name w:val="annotation text"/>
    <w:basedOn w:val="Normalny"/>
    <w:link w:val="TekstkomentarzaZnak"/>
    <w:uiPriority w:val="99"/>
    <w:unhideWhenUsed/>
    <w:rsid w:val="00DB536A"/>
    <w:pPr>
      <w:spacing w:line="240" w:lineRule="auto"/>
    </w:pPr>
    <w:rPr>
      <w:sz w:val="20"/>
      <w:szCs w:val="20"/>
    </w:rPr>
  </w:style>
  <w:style w:type="character" w:customStyle="1" w:styleId="TekstkomentarzaZnak">
    <w:name w:val="Tekst komentarza Znak"/>
    <w:basedOn w:val="Domylnaczcionkaakapitu"/>
    <w:link w:val="Tekstkomentarza"/>
    <w:uiPriority w:val="99"/>
    <w:rsid w:val="00DB536A"/>
    <w:rPr>
      <w:sz w:val="20"/>
      <w:szCs w:val="20"/>
    </w:rPr>
  </w:style>
  <w:style w:type="paragraph" w:styleId="Tematkomentarza">
    <w:name w:val="annotation subject"/>
    <w:basedOn w:val="Tekstkomentarza"/>
    <w:next w:val="Tekstkomentarza"/>
    <w:link w:val="TematkomentarzaZnak"/>
    <w:uiPriority w:val="99"/>
    <w:semiHidden/>
    <w:unhideWhenUsed/>
    <w:rsid w:val="00DB536A"/>
    <w:rPr>
      <w:b/>
      <w:bCs/>
    </w:rPr>
  </w:style>
  <w:style w:type="character" w:customStyle="1" w:styleId="TematkomentarzaZnak">
    <w:name w:val="Temat komentarza Znak"/>
    <w:basedOn w:val="TekstkomentarzaZnak"/>
    <w:link w:val="Tematkomentarza"/>
    <w:uiPriority w:val="99"/>
    <w:semiHidden/>
    <w:rsid w:val="00DB536A"/>
    <w:rPr>
      <w:b/>
      <w:bCs/>
      <w:sz w:val="20"/>
      <w:szCs w:val="20"/>
    </w:rPr>
  </w:style>
  <w:style w:type="paragraph" w:styleId="Tekstdymka">
    <w:name w:val="Balloon Text"/>
    <w:basedOn w:val="Normalny"/>
    <w:link w:val="TekstdymkaZnak"/>
    <w:uiPriority w:val="99"/>
    <w:semiHidden/>
    <w:unhideWhenUsed/>
    <w:rsid w:val="00DB536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B536A"/>
    <w:rPr>
      <w:rFonts w:ascii="Segoe UI" w:hAnsi="Segoe UI" w:cs="Segoe UI"/>
      <w:sz w:val="18"/>
      <w:szCs w:val="18"/>
    </w:rPr>
  </w:style>
  <w:style w:type="table" w:customStyle="1" w:styleId="a">
    <w:basedOn w:val="TableNormal1"/>
    <w:tblPr>
      <w:tblStyleRowBandSize w:val="1"/>
      <w:tblStyleColBandSize w:val="1"/>
      <w:tblCellMar>
        <w:left w:w="115" w:type="dxa"/>
        <w:right w:w="115" w:type="dxa"/>
      </w:tblCellMar>
    </w:tblPr>
  </w:style>
  <w:style w:type="paragraph" w:styleId="Stopka">
    <w:name w:val="footer"/>
    <w:basedOn w:val="Normalny"/>
    <w:link w:val="StopkaZnak"/>
    <w:uiPriority w:val="99"/>
    <w:unhideWhenUsed/>
    <w:rsid w:val="00B16D2D"/>
    <w:pPr>
      <w:tabs>
        <w:tab w:val="center" w:pos="4536"/>
        <w:tab w:val="right" w:pos="9072"/>
      </w:tabs>
      <w:spacing w:line="240" w:lineRule="auto"/>
    </w:pPr>
  </w:style>
  <w:style w:type="character" w:customStyle="1" w:styleId="StopkaZnak">
    <w:name w:val="Stopka Znak"/>
    <w:basedOn w:val="Domylnaczcionkaakapitu"/>
    <w:link w:val="Stopka"/>
    <w:uiPriority w:val="99"/>
    <w:rsid w:val="00B16D2D"/>
  </w:style>
  <w:style w:type="paragraph" w:styleId="Poprawka">
    <w:name w:val="Revision"/>
    <w:hidden/>
    <w:uiPriority w:val="99"/>
    <w:semiHidden/>
    <w:rsid w:val="000852A3"/>
    <w:pPr>
      <w:spacing w:line="240" w:lineRule="auto"/>
    </w:pPr>
  </w:style>
  <w:style w:type="paragraph" w:styleId="Akapitzlist">
    <w:name w:val="List Paragraph"/>
    <w:basedOn w:val="Normalny"/>
    <w:uiPriority w:val="34"/>
    <w:qFormat/>
    <w:rsid w:val="008C2152"/>
    <w:pPr>
      <w:ind w:left="720"/>
      <w:contextualSpacing/>
    </w:pPr>
  </w:style>
  <w:style w:type="table" w:customStyle="1" w:styleId="a0">
    <w:basedOn w:val="TableNormal0"/>
    <w:tblPr>
      <w:tblStyleRowBandSize w:val="1"/>
      <w:tblStyleColBandSize w:val="1"/>
      <w:tblCellMar>
        <w:left w:w="115" w:type="dxa"/>
        <w:right w:w="115" w:type="dxa"/>
      </w:tblCellMar>
    </w:tblPr>
  </w:style>
  <w:style w:type="character" w:styleId="Hipercze">
    <w:name w:val="Hyperlink"/>
    <w:basedOn w:val="Domylnaczcionkaakapitu"/>
    <w:uiPriority w:val="99"/>
    <w:unhideWhenUsed/>
    <w:rsid w:val="005B502A"/>
    <w:rPr>
      <w:color w:val="0000FF" w:themeColor="hyperlink"/>
      <w:u w:val="single"/>
    </w:rPr>
  </w:style>
  <w:style w:type="character" w:customStyle="1" w:styleId="Nierozpoznanawzmianka1">
    <w:name w:val="Nierozpoznana wzmianka1"/>
    <w:basedOn w:val="Domylnaczcionkaakapitu"/>
    <w:uiPriority w:val="99"/>
    <w:semiHidden/>
    <w:unhideWhenUsed/>
    <w:rsid w:val="005B502A"/>
    <w:rPr>
      <w:color w:val="605E5C"/>
      <w:shd w:val="clear" w:color="auto" w:fill="E1DFDD"/>
    </w:rPr>
  </w:style>
  <w:style w:type="table" w:styleId="Tabela-Siatka">
    <w:name w:val="Table Grid"/>
    <w:basedOn w:val="Standardowy"/>
    <w:uiPriority w:val="39"/>
    <w:rsid w:val="008737D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391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079">
      <w:bodyDiv w:val="1"/>
      <w:marLeft w:val="0"/>
      <w:marRight w:val="0"/>
      <w:marTop w:val="0"/>
      <w:marBottom w:val="0"/>
      <w:divBdr>
        <w:top w:val="none" w:sz="0" w:space="0" w:color="auto"/>
        <w:left w:val="none" w:sz="0" w:space="0" w:color="auto"/>
        <w:bottom w:val="none" w:sz="0" w:space="0" w:color="auto"/>
        <w:right w:val="none" w:sz="0" w:space="0" w:color="auto"/>
      </w:divBdr>
    </w:div>
    <w:div w:id="526135596">
      <w:bodyDiv w:val="1"/>
      <w:marLeft w:val="0"/>
      <w:marRight w:val="0"/>
      <w:marTop w:val="0"/>
      <w:marBottom w:val="0"/>
      <w:divBdr>
        <w:top w:val="none" w:sz="0" w:space="0" w:color="auto"/>
        <w:left w:val="none" w:sz="0" w:space="0" w:color="auto"/>
        <w:bottom w:val="none" w:sz="0" w:space="0" w:color="auto"/>
        <w:right w:val="none" w:sz="0" w:space="0" w:color="auto"/>
      </w:divBdr>
    </w:div>
    <w:div w:id="542594270">
      <w:bodyDiv w:val="1"/>
      <w:marLeft w:val="0"/>
      <w:marRight w:val="0"/>
      <w:marTop w:val="0"/>
      <w:marBottom w:val="0"/>
      <w:divBdr>
        <w:top w:val="none" w:sz="0" w:space="0" w:color="auto"/>
        <w:left w:val="none" w:sz="0" w:space="0" w:color="auto"/>
        <w:bottom w:val="none" w:sz="0" w:space="0" w:color="auto"/>
        <w:right w:val="none" w:sz="0" w:space="0" w:color="auto"/>
      </w:divBdr>
    </w:div>
    <w:div w:id="1695375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g.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ipoBRGEE/JkVuYdy/txw4Awrgw==">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1835</Words>
  <Characters>11014</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Biuro Informacji Kredytowej S.A.</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Rogowski Waldemar</dc:creator>
  <cp:lastModifiedBy>Borowiecka Diana</cp:lastModifiedBy>
  <cp:revision>28</cp:revision>
  <dcterms:created xsi:type="dcterms:W3CDTF">2026-05-14T07:43:00Z</dcterms:created>
  <dcterms:modified xsi:type="dcterms:W3CDTF">2026-07-13T11:38:00Z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1094a0ff,395311e0,1d01d463</vt:lpwstr>
  </property>
  <property fmtid="{D5CDD505-2E9C-101B-9397-08002B2CF9AE}" pid="3" name="ClassificationContentMarkingFooterFontProps">
    <vt:lpwstr>#008000,10,Calibri</vt:lpwstr>
  </property>
  <property fmtid="{D5CDD505-2E9C-101B-9397-08002B2CF9AE}" pid="4" name="ClassificationContentMarkingFooterText">
    <vt:lpwstr>Informacje Jawne</vt:lpwstr>
  </property>
  <property fmtid="{D5CDD505-2E9C-101B-9397-08002B2CF9AE}" pid="5" name="MSIP_Label_1391a466-f120-4668-a5e5-7af4d8a99d82_Enabled">
    <vt:lpwstr>true</vt:lpwstr>
  </property>
  <property fmtid="{D5CDD505-2E9C-101B-9397-08002B2CF9AE}" pid="6" name="MSIP_Label_1391a466-f120-4668-a5e5-7af4d8a99d82_SetDate">
    <vt:lpwstr>2025-04-30T14:11:33Z</vt:lpwstr>
  </property>
  <property fmtid="{D5CDD505-2E9C-101B-9397-08002B2CF9AE}" pid="7" name="MSIP_Label_1391a466-f120-4668-a5e5-7af4d8a99d82_Method">
    <vt:lpwstr>Privileged</vt:lpwstr>
  </property>
  <property fmtid="{D5CDD505-2E9C-101B-9397-08002B2CF9AE}" pid="8" name="MSIP_Label_1391a466-f120-4668-a5e5-7af4d8a99d82_Name">
    <vt:lpwstr>Grupa BIK-Jawne</vt:lpwstr>
  </property>
  <property fmtid="{D5CDD505-2E9C-101B-9397-08002B2CF9AE}" pid="9" name="MSIP_Label_1391a466-f120-4668-a5e5-7af4d8a99d82_SiteId">
    <vt:lpwstr>f2871815-01ea-45c0-a64b-82e189df602c</vt:lpwstr>
  </property>
  <property fmtid="{D5CDD505-2E9C-101B-9397-08002B2CF9AE}" pid="10" name="MSIP_Label_1391a466-f120-4668-a5e5-7af4d8a99d82_ActionId">
    <vt:lpwstr>958adf0e-ae6d-40ec-ba92-f28eb96c304b</vt:lpwstr>
  </property>
  <property fmtid="{D5CDD505-2E9C-101B-9397-08002B2CF9AE}" pid="11" name="MSIP_Label_1391a466-f120-4668-a5e5-7af4d8a99d82_ContentBits">
    <vt:lpwstr>2</vt:lpwstr>
  </property>
  <property fmtid="{D5CDD505-2E9C-101B-9397-08002B2CF9AE}" pid="12" name="MSIP_Label_1391a466-f120-4668-a5e5-7af4d8a99d82_Tag">
    <vt:lpwstr>10, 0, 1, 1</vt:lpwstr>
  </property>
</Properties>
</file>