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E187B" w14:textId="5DEA20A7" w:rsidR="00C66D98" w:rsidRDefault="00C66D98">
      <w:r w:rsidRPr="00C66D98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F3970F" wp14:editId="61589947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670050" cy="330200"/>
                <wp:effectExtent l="0" t="0" r="6350" b="0"/>
                <wp:wrapNone/>
                <wp:docPr id="6" name="Rounded Rectangle">
                  <a:extLst xmlns:a="http://schemas.openxmlformats.org/drawingml/2006/main">
                    <a:ext uri="{FF2B5EF4-FFF2-40B4-BE49-F238E27FC236}">
                      <a16:creationId xmlns:a16="http://schemas.microsoft.com/office/drawing/2014/main" id="{E0923F88-26B4-4B98-BF33-07156C83EF4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0050" cy="33020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195C7"/>
                        </a:solidFill>
                        <a:ln w="12700">
                          <a:miter lim="400000"/>
                        </a:ln>
                      </wps:spPr>
                      <wps:txbx>
                        <w:txbxContent>
                          <w:p w14:paraId="5AF847AA" w14:textId="4DB7C51B" w:rsidR="00C66D98" w:rsidRPr="00C66D98" w:rsidRDefault="00C66D98" w:rsidP="00C66D98">
                            <w:pPr>
                              <w:spacing w:after="0" w:line="240" w:lineRule="auto"/>
                              <w:jc w:val="center"/>
                              <w:rPr>
                                <w:rFonts w:ascii="Microsoft PhagsPa" w:eastAsia="Microsoft JhengHei UI" w:hAnsi="Microsoft PhagsPa" w:cs="Helvetica Neue Medium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pt-PT"/>
                                <w14:ligatures w14:val="none"/>
                              </w:rPr>
                            </w:pPr>
                            <w:r w:rsidRPr="00C66D98">
                              <w:rPr>
                                <w:rFonts w:ascii="Microsoft PhagsPa" w:eastAsia="Microsoft JhengHei UI" w:hAnsi="Microsoft PhagsPa" w:cs="Helvetica Neue Medium"/>
                                <w:b/>
                                <w:bCs/>
                                <w:color w:val="FFFFFF" w:themeColor="background1"/>
                                <w:kern w:val="24"/>
                                <w:sz w:val="16"/>
                                <w:szCs w:val="16"/>
                                <w:lang w:val="pt-PT"/>
                              </w:rPr>
                              <w:t>COMUNICADO DE IMPRENSA</w:t>
                            </w:r>
                          </w:p>
                        </w:txbxContent>
                      </wps:txbx>
                      <wps:bodyPr wrap="square" lIns="50800" tIns="50800" rIns="50800" bIns="5080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F3970F" id="Rounded Rectangle" o:spid="_x0000_s1026" style="position:absolute;margin-left:0;margin-top:0;width:131.5pt;height:26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" fillcolor="#0195c7" stroked="f" strokeweight="1pt">
                <v:stroke miterlimit="4" joinstyle="miter"/>
                <v:textbox inset="4pt,4pt,4pt,4pt">
                  <w:txbxContent>
                    <w:p w14:paraId="5AF847AA" w14:textId="4DB7C51B" w:rsidR="00C66D98" w:rsidRPr="00C66D98" w:rsidRDefault="00C66D98" w:rsidP="00C66D98">
                      <w:pPr>
                        <w:spacing w:after="0" w:line="240" w:lineRule="auto"/>
                        <w:jc w:val="center"/>
                        <w:rPr>
                          <w:rFonts w:ascii="Microsoft PhagsPa" w:eastAsia="Microsoft JhengHei UI" w:hAnsi="Microsoft PhagsPa" w:cs="Helvetica Neue Medium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:lang w:val="pt-PT"/>
                          <w14:ligatures w14:val="none"/>
                        </w:rPr>
                      </w:pPr>
                      <w:r w:rsidRPr="00C66D98">
                        <w:rPr>
                          <w:rFonts w:ascii="Microsoft PhagsPa" w:eastAsia="Microsoft JhengHei UI" w:hAnsi="Microsoft PhagsPa" w:cs="Helvetica Neue Medium"/>
                          <w:b/>
                          <w:bCs/>
                          <w:color w:val="FFFFFF" w:themeColor="background1"/>
                          <w:kern w:val="24"/>
                          <w:sz w:val="16"/>
                          <w:szCs w:val="16"/>
                          <w:lang w:val="pt-PT"/>
                        </w:rPr>
                        <w:t>COMUNICADO DE IMPRENSA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0EFD44A" w14:textId="339FDBB4" w:rsidR="00C66D98" w:rsidRPr="00C66D98" w:rsidRDefault="00C66D98" w:rsidP="00367700">
      <w:pPr>
        <w:spacing w:after="80" w:line="264" w:lineRule="auto"/>
        <w:rPr>
          <w:rFonts w:ascii="Microsoft PhagsPa" w:eastAsia="Microsoft JhengHei UI" w:hAnsi="Microsoft PhagsPa"/>
          <w:color w:val="0195C7"/>
          <w:lang w:val="pt-PT"/>
        </w:rPr>
      </w:pPr>
    </w:p>
    <w:p w14:paraId="2F4D5E81" w14:textId="6AD392AD" w:rsidR="00D17513" w:rsidRPr="00D17513" w:rsidRDefault="00D17513" w:rsidP="00B67E10">
      <w:pPr>
        <w:spacing w:after="0" w:line="240" w:lineRule="auto"/>
        <w:jc w:val="center"/>
        <w:rPr>
          <w:rFonts w:ascii="Microsoft PhagsPa" w:eastAsia="Microsoft JhengHei UI" w:hAnsi="Microsoft PhagsPa"/>
          <w:color w:val="0195C7"/>
          <w:sz w:val="28"/>
          <w:szCs w:val="28"/>
          <w:u w:val="single"/>
          <w:lang w:val="pt-PT"/>
        </w:rPr>
      </w:pPr>
      <w:r w:rsidRPr="00D17513">
        <w:rPr>
          <w:rFonts w:ascii="Microsoft PhagsPa" w:eastAsia="Microsoft JhengHei UI" w:hAnsi="Microsoft PhagsPa"/>
          <w:color w:val="0195C7"/>
          <w:sz w:val="28"/>
          <w:szCs w:val="28"/>
          <w:u w:val="single"/>
          <w:lang w:val="pt-PT"/>
        </w:rPr>
        <w:t>Observatório do Imobiliário do Doutor Finanças</w:t>
      </w:r>
    </w:p>
    <w:p w14:paraId="29CCB9E8" w14:textId="43C38F2C" w:rsidR="006610D9" w:rsidRDefault="00350954" w:rsidP="00B67E10">
      <w:pPr>
        <w:spacing w:after="0" w:line="240" w:lineRule="auto"/>
        <w:jc w:val="center"/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</w:pPr>
      <w:r w:rsidRPr="00350954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>Preços das casas caem 3,4% no segundo trimestre</w:t>
      </w:r>
      <w:r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 xml:space="preserve"> de 2026</w:t>
      </w:r>
      <w:r w:rsidR="009F2B25"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  <w:t xml:space="preserve"> </w:t>
      </w:r>
    </w:p>
    <w:p w14:paraId="371118D1" w14:textId="77777777" w:rsidR="006610D9" w:rsidRDefault="006610D9" w:rsidP="00B67E10">
      <w:pPr>
        <w:spacing w:after="0" w:line="240" w:lineRule="auto"/>
        <w:jc w:val="center"/>
        <w:rPr>
          <w:rFonts w:ascii="Microsoft PhagsPa" w:eastAsia="Microsoft JhengHei UI" w:hAnsi="Microsoft PhagsPa"/>
          <w:b/>
          <w:bCs/>
          <w:color w:val="0195C7"/>
          <w:sz w:val="36"/>
          <w:szCs w:val="36"/>
          <w:lang w:val="pt-PT"/>
        </w:rPr>
      </w:pPr>
    </w:p>
    <w:p w14:paraId="64114022" w14:textId="77777777" w:rsidR="00A82966" w:rsidRPr="00B67E10" w:rsidRDefault="00A82966" w:rsidP="00B67E10">
      <w:pPr>
        <w:spacing w:after="0" w:line="240" w:lineRule="auto"/>
        <w:jc w:val="center"/>
        <w:rPr>
          <w:rFonts w:ascii="Microsoft PhagsPa" w:eastAsia="Microsoft JhengHei UI" w:hAnsi="Microsoft PhagsPa"/>
          <w:b/>
          <w:bCs/>
          <w:color w:val="0195C7"/>
          <w:lang w:val="pt-PT"/>
        </w:rPr>
      </w:pPr>
    </w:p>
    <w:p w14:paraId="749A12EC" w14:textId="4F5D9914" w:rsidR="00C57ADE" w:rsidRPr="005A3A51" w:rsidRDefault="00350954" w:rsidP="00C57ADE">
      <w:pPr>
        <w:pStyle w:val="PargrafodaLista"/>
        <w:numPr>
          <w:ilvl w:val="0"/>
          <w:numId w:val="1"/>
        </w:numPr>
        <w:spacing w:after="360" w:line="240" w:lineRule="auto"/>
        <w:ind w:left="992" w:hanging="357"/>
        <w:contextualSpacing w:val="0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 xml:space="preserve">Preço médio </w:t>
      </w:r>
      <w:r w:rsidR="000A39E5">
        <w:rPr>
          <w:rFonts w:ascii="Microsoft PhagsPa" w:eastAsia="Microsoft JhengHei UI" w:hAnsi="Microsoft PhagsPa"/>
          <w:sz w:val="22"/>
          <w:szCs w:val="22"/>
          <w:lang w:val="pt-PT"/>
        </w:rPr>
        <w:t>das casas</w:t>
      </w: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 xml:space="preserve"> fixou-se nos 3.544 €/m² no segundo trimestre de 2026, uma descida de 3,4% face ao trimestre anterior, num mercado marcado por comportamentos distintos entre regiões.</w:t>
      </w:r>
    </w:p>
    <w:p w14:paraId="41487995" w14:textId="7E095FD0" w:rsidR="002A0255" w:rsidRDefault="00350954" w:rsidP="00A82966">
      <w:pPr>
        <w:pStyle w:val="PargrafodaLista"/>
        <w:numPr>
          <w:ilvl w:val="0"/>
          <w:numId w:val="1"/>
        </w:numPr>
        <w:spacing w:after="360" w:line="240" w:lineRule="auto"/>
        <w:ind w:left="992" w:hanging="357"/>
        <w:contextualSpacing w:val="0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>No arrendamento, a correção foi ainda mais expressiva, com o valor médio nacional a recuar 4,2%, para 15,46 €/m², refletindo uma desaceleração nos principais mercados urbanos.</w:t>
      </w:r>
    </w:p>
    <w:p w14:paraId="6571C048" w14:textId="24688030" w:rsidR="002A0255" w:rsidRDefault="00350954" w:rsidP="00A82966">
      <w:pPr>
        <w:pStyle w:val="PargrafodaLista"/>
        <w:numPr>
          <w:ilvl w:val="0"/>
          <w:numId w:val="1"/>
        </w:numPr>
        <w:spacing w:after="360" w:line="240" w:lineRule="auto"/>
        <w:ind w:left="992" w:hanging="357"/>
        <w:contextualSpacing w:val="0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>A acessibilidade continua a ser um dos principais desafios: em junho, a prestação média de um apartamento T2 absorvia 49% do rendimento líquido de um casal, enquanto uma moradia T3 exigia 53%.</w:t>
      </w:r>
    </w:p>
    <w:p w14:paraId="02B8C407" w14:textId="29157B4B" w:rsidR="00E037B5" w:rsidRDefault="787A4C90" w:rsidP="00E037B5">
      <w:pPr>
        <w:spacing w:line="360" w:lineRule="auto"/>
        <w:ind w:hanging="426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4D8E573B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    </w:t>
      </w:r>
      <w:r w:rsidR="00E23DAD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 </w:t>
      </w:r>
      <w:r w:rsidRPr="4D8E573B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Lisboa, </w:t>
      </w:r>
      <w:r w:rsidR="00361C79" w:rsidRPr="4D8E573B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13</w:t>
      </w:r>
      <w:r w:rsidRPr="4D8E573B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de </w:t>
      </w:r>
      <w:r w:rsidR="00350954" w:rsidRPr="4D8E573B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julho</w:t>
      </w:r>
      <w:r w:rsidRPr="4D8E573B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 xml:space="preserve"> de 202</w:t>
      </w:r>
      <w:r w:rsidR="00361C79" w:rsidRPr="4D8E573B">
        <w:rPr>
          <w:rFonts w:ascii="Microsoft PhagsPa" w:eastAsia="Microsoft JhengHei UI" w:hAnsi="Microsoft PhagsPa"/>
          <w:b/>
          <w:bCs/>
          <w:sz w:val="22"/>
          <w:szCs w:val="22"/>
          <w:lang w:val="pt-PT"/>
        </w:rPr>
        <w:t>6</w:t>
      </w:r>
      <w:r w:rsidRPr="4D8E573B">
        <w:rPr>
          <w:rFonts w:ascii="Microsoft PhagsPa" w:eastAsia="Microsoft JhengHei UI" w:hAnsi="Microsoft PhagsPa"/>
          <w:sz w:val="22"/>
          <w:szCs w:val="22"/>
          <w:lang w:val="pt-PT"/>
        </w:rPr>
        <w:t xml:space="preserve"> – </w:t>
      </w:r>
      <w:r w:rsidR="00D24C01">
        <w:rPr>
          <w:rFonts w:ascii="Microsoft PhagsPa" w:eastAsia="Microsoft JhengHei UI" w:hAnsi="Microsoft PhagsPa"/>
          <w:sz w:val="22"/>
          <w:szCs w:val="22"/>
          <w:lang w:val="pt-PT"/>
        </w:rPr>
        <w:t>No</w:t>
      </w:r>
      <w:r w:rsidR="00E037B5" w:rsidRPr="4D8E573B">
        <w:rPr>
          <w:rFonts w:ascii="Microsoft PhagsPa" w:eastAsia="Microsoft JhengHei UI" w:hAnsi="Microsoft PhagsPa"/>
          <w:sz w:val="22"/>
          <w:szCs w:val="22"/>
          <w:lang w:val="pt-PT"/>
        </w:rPr>
        <w:t xml:space="preserve"> segundo trimestre de </w:t>
      </w:r>
      <w:r w:rsidR="005100F9" w:rsidRPr="4D8E573B">
        <w:rPr>
          <w:rFonts w:ascii="Microsoft PhagsPa" w:eastAsia="Microsoft JhengHei UI" w:hAnsi="Microsoft PhagsPa"/>
          <w:sz w:val="22"/>
          <w:szCs w:val="22"/>
          <w:lang w:val="pt-PT"/>
        </w:rPr>
        <w:t>2026,</w:t>
      </w:r>
      <w:r w:rsidR="009D46E3">
        <w:rPr>
          <w:rFonts w:ascii="Microsoft PhagsPa" w:eastAsia="Microsoft JhengHei UI" w:hAnsi="Microsoft PhagsPa"/>
          <w:sz w:val="22"/>
          <w:szCs w:val="22"/>
          <w:lang w:val="pt-PT"/>
        </w:rPr>
        <w:t xml:space="preserve"> o mercado imobiliário assistiu a </w:t>
      </w:r>
      <w:r w:rsidR="00E037B5" w:rsidRPr="4D8E573B">
        <w:rPr>
          <w:rFonts w:ascii="Microsoft PhagsPa" w:eastAsia="Microsoft JhengHei UI" w:hAnsi="Microsoft PhagsPa"/>
          <w:sz w:val="22"/>
          <w:szCs w:val="22"/>
          <w:lang w:val="pt-PT"/>
        </w:rPr>
        <w:t>uma correção simultânea nos preços de venda e de arrendamento</w:t>
      </w:r>
      <w:r w:rsidR="00D82EA0">
        <w:rPr>
          <w:rFonts w:ascii="Microsoft PhagsPa" w:eastAsia="Microsoft JhengHei UI" w:hAnsi="Microsoft PhagsPa"/>
          <w:sz w:val="22"/>
          <w:szCs w:val="22"/>
          <w:lang w:val="pt-PT"/>
        </w:rPr>
        <w:t xml:space="preserve">. </w:t>
      </w:r>
      <w:r w:rsidR="00E037B5" w:rsidRPr="4D8E573B">
        <w:rPr>
          <w:rFonts w:ascii="Microsoft PhagsPa" w:eastAsia="Microsoft JhengHei UI" w:hAnsi="Microsoft PhagsPa"/>
          <w:sz w:val="22"/>
          <w:szCs w:val="22"/>
          <w:lang w:val="pt-PT"/>
        </w:rPr>
        <w:t xml:space="preserve">De acordo com a análise trimestral do </w:t>
      </w:r>
      <w:hyperlink r:id="rId10">
        <w:r w:rsidR="00E037B5" w:rsidRPr="4D8E573B">
          <w:rPr>
            <w:rStyle w:val="Hiperligao"/>
            <w:rFonts w:ascii="Microsoft PhagsPa" w:eastAsia="Microsoft JhengHei UI" w:hAnsi="Microsoft PhagsPa"/>
            <w:sz w:val="22"/>
            <w:szCs w:val="22"/>
            <w:lang w:val="pt-PT"/>
          </w:rPr>
          <w:t>Observatório do Imobiliário do Doutor Finanças</w:t>
        </w:r>
      </w:hyperlink>
      <w:r w:rsidR="00E037B5" w:rsidRPr="4D8E573B">
        <w:rPr>
          <w:rFonts w:ascii="Microsoft PhagsPa" w:eastAsia="Microsoft JhengHei UI" w:hAnsi="Microsoft PhagsPa"/>
          <w:sz w:val="22"/>
          <w:szCs w:val="22"/>
          <w:lang w:val="pt-PT"/>
        </w:rPr>
        <w:t>, o preço médio nacional de venda fixou-se nos 3.544 euros por metro quadrado, uma descida de 3,4% face ao primeiro trimestre, enquanto o valor médio do arrendamento recuou 4,2%, para 15,46 euros por metro quadrado.</w:t>
      </w:r>
    </w:p>
    <w:p w14:paraId="21BD1391" w14:textId="786BAA02" w:rsidR="00237B7D" w:rsidRDefault="00350954" w:rsidP="00AB474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 xml:space="preserve">Apesar da correção a nível nacional, a evolução esteve longe de ser uniforme em todo o território. </w:t>
      </w:r>
      <w:r w:rsidR="00053AC4" w:rsidRPr="00053AC4">
        <w:rPr>
          <w:rFonts w:ascii="Microsoft PhagsPa" w:eastAsia="Microsoft JhengHei UI" w:hAnsi="Microsoft PhagsPa"/>
          <w:sz w:val="22"/>
          <w:szCs w:val="22"/>
          <w:lang w:val="pt-PT"/>
        </w:rPr>
        <w:t>Entre os 18 distritos e as duas regiões autónomas, 10 distritos e a Região Autónoma dos Açores registaram aumentos de preços, enquanto os restantes nove territórios apresentaram descidas.</w:t>
      </w: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 xml:space="preserve"> As maiores valorizações concentraram-se sobretudo no interior norte e centro, com destaque para Viseu (+8,6%), Santarém (+5,8%) e Portalegre (+3,4%). Em sentido inverso, as quedas mais expressivas ocorreram em Viana do Castelo (-5,3%), Setúbal (-5,2%) e Évora (-4,7%). Também Lisboa e Porto registaram correções, de -3,3% e -2,4%, respetivamente.</w:t>
      </w:r>
    </w:p>
    <w:p w14:paraId="4B47CE80" w14:textId="5D03E19B" w:rsidR="00350954" w:rsidRDefault="00350954" w:rsidP="00AB474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lastRenderedPageBreak/>
        <w:t xml:space="preserve">A descida dos preços não afetou todos os segmentos do mercado da mesma forma. Os imóveis de gama média e alta foram os que </w:t>
      </w:r>
      <w:r w:rsidR="00112376">
        <w:rPr>
          <w:rFonts w:ascii="Microsoft PhagsPa" w:eastAsia="Microsoft JhengHei UI" w:hAnsi="Microsoft PhagsPa"/>
          <w:sz w:val="22"/>
          <w:szCs w:val="22"/>
          <w:lang w:val="pt-PT"/>
        </w:rPr>
        <w:t>tiveram uma maior correção</w:t>
      </w: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 xml:space="preserve">: a mediana dos preços passou de 419.900 euros para 390.000 euros, uma redução de 7,1%, enquanto o terceiro quartil, correspondente aos imóveis de valor mais elevado, desceu 7,2%, de 695.000 euros para 645.000 euros. Já </w:t>
      </w:r>
      <w:r w:rsidR="00112376">
        <w:rPr>
          <w:rFonts w:ascii="Microsoft PhagsPa" w:eastAsia="Microsoft JhengHei UI" w:hAnsi="Microsoft PhagsPa"/>
          <w:sz w:val="22"/>
          <w:szCs w:val="22"/>
          <w:lang w:val="pt-PT"/>
        </w:rPr>
        <w:t>n</w:t>
      </w: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>os imóveis mais acessíveis, a descida foi mais moderada, com o primeiro quartil a recuar 3,7%, de 270.000 euros para 259.900 euros.</w:t>
      </w:r>
    </w:p>
    <w:p w14:paraId="57703CD2" w14:textId="69065A2B" w:rsidR="00BA3BEA" w:rsidRDefault="00350954" w:rsidP="00AB474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>No mercado de arrendamento, a correção foi ainda mais evidente. O preço médio nacional recuou 4,2% no segundo trimestre</w:t>
      </w:r>
      <w:r w:rsidR="00BF6365">
        <w:rPr>
          <w:rFonts w:ascii="Microsoft PhagsPa" w:eastAsia="Microsoft JhengHei UI" w:hAnsi="Microsoft PhagsPa"/>
          <w:sz w:val="22"/>
          <w:szCs w:val="22"/>
          <w:lang w:val="pt-PT"/>
        </w:rPr>
        <w:t xml:space="preserve"> do ano</w:t>
      </w: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>, fixando-se nos 15,46 euros por metro quadrado. A descida foi impulsionada sobretudo pelos distritos onde as rendas são mais elevadas e onde se concentra uma parte significativa da oferta, como Lisboa (-4,0%) e Porto (-4,0%). Ainda assim, as quedas mais acentuadas registaram-se em Évora (-12,8%), Beja (-6,5%) e Coimbra (-6,5%).</w:t>
      </w:r>
    </w:p>
    <w:p w14:paraId="7D1D1D63" w14:textId="77777777" w:rsidR="00350954" w:rsidRDefault="00350954" w:rsidP="00AB474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>Em sentido inverso, algumas regiões do interior registaram subidas expressivas no arrendamento, com destaque para a Guarda (+33%), Viseu (+11,6%) e Bragança (+7,2%). Estes aumentos devem, contudo, ser lidos com prudência, uma vez que resultam de mercados com menor volume de anúncios e, por isso, mais suscetíveis a oscilações trimestrais.</w:t>
      </w:r>
    </w:p>
    <w:p w14:paraId="70EB50B7" w14:textId="4478FC64" w:rsidR="00BA3BEA" w:rsidRDefault="00350954" w:rsidP="00AB474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>Apesar da descida dos preços, a acessibilidade à habitação continua a ser um dos principais desafios para as famílias portuguesas. Em junho, a prestação média estimada para a compra de um apartamento T2 absorvia 49% do rendimento líquido mensal de um casal com salário médio. No caso de uma moradia T3, esse esforço subia para 53%.</w:t>
      </w:r>
    </w:p>
    <w:p w14:paraId="0970FB0E" w14:textId="77658E1B" w:rsidR="00350954" w:rsidRDefault="00350954" w:rsidP="00AB474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>Do lado da oferta, o Observatório identifica um aumento do número de imóveis disponíveis para venda no segundo trimestre</w:t>
      </w:r>
      <w:r w:rsidR="00BF6365">
        <w:rPr>
          <w:rFonts w:ascii="Microsoft PhagsPa" w:eastAsia="Microsoft JhengHei UI" w:hAnsi="Microsoft PhagsPa"/>
          <w:sz w:val="22"/>
          <w:szCs w:val="22"/>
          <w:lang w:val="pt-PT"/>
        </w:rPr>
        <w:t>, o chamado stock ativo</w:t>
      </w: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>. No entanto, esta evolução deve ser lida com o devido enquadramento, uma vez que o Observatório</w:t>
      </w:r>
      <w:r w:rsidR="006731BA">
        <w:rPr>
          <w:rFonts w:ascii="Microsoft PhagsPa" w:eastAsia="Microsoft JhengHei UI" w:hAnsi="Microsoft PhagsPa"/>
          <w:sz w:val="22"/>
          <w:szCs w:val="22"/>
          <w:lang w:val="pt-PT"/>
        </w:rPr>
        <w:t xml:space="preserve"> do Imobiliário de Doutor Finanças</w:t>
      </w: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 xml:space="preserve"> passou a integrar um maior número de fontes de recolha, permitindo uma cobertura mais ampla do mercado neste trimestre. Ainda assim, quando cruzados com a taxa de absorção e com o tempo médio de venda, os dados apontam para um mercado que continua ativo, mas onde os negócios tendem a exigir maior ponderação e alinhamento entre preço, localização e capacidade financeira dos compradores.</w:t>
      </w:r>
    </w:p>
    <w:p w14:paraId="6DC2972D" w14:textId="6F92C929" w:rsidR="00415056" w:rsidRDefault="00350954" w:rsidP="00AB474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lastRenderedPageBreak/>
        <w:t>No segundo trimestre, a taxa de absorção na venda, que mede a percentagem de imóveis anunciados que resultam em negócio fechado no mesmo período, recuou ligeiramente de 1,6% para 1,5%. O tempo de mercado reforça esta leitura: as moradias demoraram, em média, 184 dias a ser vendidas, mais 54% do que no trimestre anterior. Nos apartamentos, verificou-se o movimento inverso, com uma redução de 15%, para 106 dias.</w:t>
      </w:r>
    </w:p>
    <w:p w14:paraId="7DF5004A" w14:textId="38F5599F" w:rsidR="00E037B5" w:rsidRPr="00BA3BEA" w:rsidRDefault="00E037B5" w:rsidP="00AB4743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>Depois de vários anos de forte pressão sobre os preços,</w:t>
      </w:r>
      <w:r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6731BA">
        <w:rPr>
          <w:rFonts w:ascii="Microsoft PhagsPa" w:eastAsia="Microsoft JhengHei UI" w:hAnsi="Microsoft PhagsPa"/>
          <w:sz w:val="22"/>
          <w:szCs w:val="22"/>
          <w:lang w:val="pt-PT"/>
        </w:rPr>
        <w:t>a análise do</w:t>
      </w:r>
      <w:r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Pr="00E037B5">
        <w:rPr>
          <w:rFonts w:ascii="Microsoft PhagsPa" w:eastAsia="Microsoft JhengHei UI" w:hAnsi="Microsoft PhagsPa"/>
          <w:sz w:val="22"/>
          <w:szCs w:val="22"/>
          <w:lang w:val="pt-PT"/>
        </w:rPr>
        <w:t>Observatório do Imobiliário do Doutor Finanças</w:t>
      </w:r>
      <w:r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6731BA">
        <w:rPr>
          <w:rFonts w:ascii="Microsoft PhagsPa" w:eastAsia="Microsoft JhengHei UI" w:hAnsi="Microsoft PhagsPa"/>
          <w:sz w:val="22"/>
          <w:szCs w:val="22"/>
          <w:lang w:val="pt-PT"/>
        </w:rPr>
        <w:t>relativa ao</w:t>
      </w: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 xml:space="preserve"> segundo trimestre de 2026 revela</w:t>
      </w:r>
      <w:r w:rsidR="006731BA">
        <w:rPr>
          <w:rFonts w:ascii="Microsoft PhagsPa" w:eastAsia="Microsoft JhengHei UI" w:hAnsi="Microsoft PhagsPa"/>
          <w:sz w:val="22"/>
          <w:szCs w:val="22"/>
          <w:lang w:val="pt-PT"/>
        </w:rPr>
        <w:t xml:space="preserve"> que o mercado habitacional </w:t>
      </w:r>
      <w:r w:rsidR="00E12579">
        <w:rPr>
          <w:rFonts w:ascii="Microsoft PhagsPa" w:eastAsia="Microsoft JhengHei UI" w:hAnsi="Microsoft PhagsPa"/>
          <w:sz w:val="22"/>
          <w:szCs w:val="22"/>
          <w:lang w:val="pt-PT"/>
        </w:rPr>
        <w:t>registou uma ligeira</w:t>
      </w:r>
      <w:r w:rsidR="006731BA">
        <w:rPr>
          <w:rFonts w:ascii="Microsoft PhagsPa" w:eastAsia="Microsoft JhengHei UI" w:hAnsi="Microsoft PhagsPa"/>
          <w:sz w:val="22"/>
          <w:szCs w:val="22"/>
          <w:lang w:val="pt-PT"/>
        </w:rPr>
        <w:t xml:space="preserve"> correção</w:t>
      </w:r>
      <w:r w:rsidRPr="00350954">
        <w:rPr>
          <w:rFonts w:ascii="Microsoft PhagsPa" w:eastAsia="Microsoft JhengHei UI" w:hAnsi="Microsoft PhagsPa"/>
          <w:sz w:val="22"/>
          <w:szCs w:val="22"/>
          <w:lang w:val="pt-PT"/>
        </w:rPr>
        <w:t>, com descidas nos valores de venda e arrendamento, maior seletividade por parte da procura e diferenças relevantes entre segmentos e geografias. Para famílias, investidores e proprietários, este contexto reforça a importância de decisões informadas, ajustadas à realidade local e à capacidade financeira de cada agregado.</w:t>
      </w:r>
    </w:p>
    <w:p w14:paraId="13128E0D" w14:textId="7D1CD680" w:rsidR="000777BC" w:rsidRPr="005100F9" w:rsidRDefault="00A8261E" w:rsidP="013EDD05">
      <w:pPr>
        <w:spacing w:line="360" w:lineRule="auto"/>
        <w:jc w:val="both"/>
        <w:rPr>
          <w:rFonts w:ascii="Microsoft PhagsPa" w:eastAsia="Microsoft JhengHei UI" w:hAnsi="Microsoft PhagsPa"/>
          <w:sz w:val="22"/>
          <w:szCs w:val="22"/>
          <w:lang w:val="pt-PT"/>
        </w:rPr>
      </w:pPr>
      <w:r w:rsidRPr="005100F9">
        <w:rPr>
          <w:rFonts w:ascii="Microsoft PhagsPa" w:eastAsia="Microsoft JhengHei UI" w:hAnsi="Microsoft PhagsPa"/>
          <w:sz w:val="22"/>
          <w:szCs w:val="22"/>
          <w:lang w:val="pt-PT"/>
        </w:rPr>
        <w:t xml:space="preserve">Aceda </w:t>
      </w:r>
      <w:hyperlink r:id="rId11">
        <w:r w:rsidRPr="005100F9">
          <w:rPr>
            <w:rStyle w:val="Hiperligao"/>
            <w:rFonts w:ascii="Microsoft PhagsPa" w:eastAsia="Microsoft JhengHei UI" w:hAnsi="Microsoft PhagsPa"/>
            <w:sz w:val="22"/>
            <w:szCs w:val="22"/>
            <w:lang w:val="pt-PT"/>
          </w:rPr>
          <w:t>aqu</w:t>
        </w:r>
        <w:r w:rsidR="00C831B4" w:rsidRPr="005100F9">
          <w:rPr>
            <w:rStyle w:val="Hiperligao"/>
            <w:rFonts w:ascii="Microsoft PhagsPa" w:eastAsia="Microsoft JhengHei UI" w:hAnsi="Microsoft PhagsPa"/>
            <w:sz w:val="22"/>
            <w:szCs w:val="22"/>
            <w:lang w:val="pt-PT"/>
          </w:rPr>
          <w:t>i</w:t>
        </w:r>
      </w:hyperlink>
      <w:r w:rsidR="00C831B4" w:rsidRPr="005100F9">
        <w:rPr>
          <w:rFonts w:ascii="Microsoft PhagsPa" w:eastAsia="Microsoft JhengHei UI" w:hAnsi="Microsoft PhagsPa"/>
          <w:sz w:val="22"/>
          <w:szCs w:val="22"/>
          <w:lang w:val="pt-PT"/>
        </w:rPr>
        <w:t xml:space="preserve"> ao</w:t>
      </w:r>
      <w:r w:rsidR="00B1620B" w:rsidRPr="005100F9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8817E2" w:rsidRPr="005100F9">
        <w:rPr>
          <w:rFonts w:ascii="Microsoft PhagsPa" w:eastAsia="Microsoft JhengHei UI" w:hAnsi="Microsoft PhagsPa"/>
          <w:sz w:val="22"/>
          <w:szCs w:val="22"/>
          <w:lang w:val="pt-PT"/>
        </w:rPr>
        <w:t>O</w:t>
      </w:r>
      <w:r w:rsidR="00B1620B" w:rsidRPr="005100F9">
        <w:rPr>
          <w:rFonts w:ascii="Microsoft PhagsPa" w:eastAsia="Microsoft JhengHei UI" w:hAnsi="Microsoft PhagsPa"/>
          <w:sz w:val="22"/>
          <w:szCs w:val="22"/>
          <w:lang w:val="pt-PT"/>
        </w:rPr>
        <w:t>bservatório d</w:t>
      </w:r>
      <w:r w:rsidRPr="005100F9">
        <w:rPr>
          <w:rFonts w:ascii="Microsoft PhagsPa" w:eastAsia="Microsoft JhengHei UI" w:hAnsi="Microsoft PhagsPa"/>
          <w:sz w:val="22"/>
          <w:szCs w:val="22"/>
          <w:lang w:val="pt-PT"/>
        </w:rPr>
        <w:t>o Imobiliário em Portugal do Doutor Finanças</w:t>
      </w:r>
      <w:r w:rsidR="00C831B4" w:rsidRPr="005100F9">
        <w:rPr>
          <w:rFonts w:ascii="Microsoft PhagsPa" w:eastAsia="Microsoft JhengHei UI" w:hAnsi="Microsoft PhagsPa"/>
          <w:sz w:val="22"/>
          <w:szCs w:val="22"/>
          <w:lang w:val="pt-PT"/>
        </w:rPr>
        <w:t xml:space="preserve">. </w:t>
      </w:r>
      <w:r w:rsidRPr="005100F9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  <w:r w:rsidR="00B1620B" w:rsidRPr="005100F9">
        <w:rPr>
          <w:rFonts w:ascii="Microsoft PhagsPa" w:eastAsia="Microsoft JhengHei UI" w:hAnsi="Microsoft PhagsPa"/>
          <w:sz w:val="22"/>
          <w:szCs w:val="22"/>
          <w:lang w:val="pt-PT"/>
        </w:rPr>
        <w:t xml:space="preserve"> </w:t>
      </w:r>
    </w:p>
    <w:p w14:paraId="62776A1C" w14:textId="6CE361E7" w:rsidR="002E2AE9" w:rsidRPr="002E2AE9" w:rsidRDefault="002E2AE9" w:rsidP="00A82966">
      <w:pPr>
        <w:spacing w:after="80" w:line="360" w:lineRule="auto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</w:pPr>
      <w:r w:rsidRPr="002E2AE9"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  <w:t>Sobre o Doutor Finanças</w:t>
      </w:r>
    </w:p>
    <w:p w14:paraId="4D9A0CE4" w14:textId="77777777" w:rsidR="00BA3BEA" w:rsidRPr="00341B40" w:rsidRDefault="00BA3BEA" w:rsidP="00BA3BEA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O Doutor Finanças é uma </w:t>
      </w:r>
      <w:proofErr w:type="spellStart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fintech</w:t>
      </w:r>
      <w:proofErr w:type="spellEnd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especializada na área do bem-estar financeiro, que ajuda as pessoas a tomar melhores decisões financeiras sobre crédito habitação, crédito pessoal e seguros. No mercado desde 2014, faz a ligação entre clientes e instituições financeiras, oferecendo análise, negociação e acompanhamento sem custos. O especialista fechou 202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5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com um volume de negócios de 2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4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milhões de euros, num ano em que foi responsável por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748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milhões de euros em crédito habitação e por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mais de 14 mil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apólices de seguros, tendo ajudado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mais de 200 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mil pessoas, através da melhoria das suas condições financeiras. </w:t>
      </w:r>
    </w:p>
    <w:p w14:paraId="29ED7880" w14:textId="77777777" w:rsidR="00BA3BEA" w:rsidRPr="00341B40" w:rsidRDefault="00BA3BEA" w:rsidP="00BA3BEA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Além disso, disponibiliza um portal com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16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milhões de visitas, onde são disponibilizados conteúdos para promover uma vida financeira saudável, bem como uma academia de formação especializada responsável por capacitar, em 2024, mais de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20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mil portugueses em finanças pessoais. </w:t>
      </w:r>
    </w:p>
    <w:p w14:paraId="16347FAC" w14:textId="77777777" w:rsidR="00BA3BEA" w:rsidRPr="00341B40" w:rsidRDefault="00BA3BEA" w:rsidP="00BA3BEA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O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Doutor Finanças conta com uma equipa com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mais de 700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colaboradores,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d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os quais mais de 4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2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0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são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especialistas focados na rede de lojas espalhadas de norte a sul do país, incluindo ilhas. O Doutor Finanças destaca-se como uma </w:t>
      </w:r>
      <w:proofErr w:type="spellStart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Fintech</w:t>
      </w:r>
      <w:proofErr w:type="spellEnd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de referência, tendo sido reconhecida no </w:t>
      </w:r>
      <w:proofErr w:type="spellStart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Technology</w:t>
      </w:r>
      <w:proofErr w:type="spellEnd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Fast 50 da </w:t>
      </w:r>
      <w:proofErr w:type="spellStart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Deloitte</w:t>
      </w:r>
      <w:proofErr w:type="spellEnd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, distinguida como Great </w:t>
      </w:r>
      <w:proofErr w:type="spellStart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Place</w:t>
      </w:r>
      <w:proofErr w:type="spellEnd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to </w:t>
      </w:r>
      <w:proofErr w:type="spellStart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Work</w:t>
      </w:r>
      <w:proofErr w:type="spellEnd"/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desde 2021 e com a sua Rede de franchising tendo sido galardoada com o 3º lugar enquanto marca de franchising emergente da Europa, pela Federação Europeia de Franchising.</w:t>
      </w:r>
    </w:p>
    <w:p w14:paraId="0C9BD504" w14:textId="7712B3A9" w:rsidR="00AB07E9" w:rsidRPr="007E0FAD" w:rsidRDefault="00BA3BEA" w:rsidP="00BA3BEA">
      <w:pPr>
        <w:spacing w:after="120" w:line="24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É possível aceder aos serviços do Doutor Finanças através do seu portal e das </w:t>
      </w:r>
      <w:r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10</w:t>
      </w:r>
      <w:r w:rsidRPr="00341B40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0 lojas espalhadas por todo o território nacional. Mais informação em: </w:t>
      </w:r>
      <w:hyperlink r:id="rId12" w:history="1">
        <w:r w:rsidRPr="002E4C2F">
          <w:rPr>
            <w:rStyle w:val="Hiperligao"/>
            <w:rFonts w:ascii="Microsoft PhagsPa" w:eastAsia="Microsoft JhengHei UI" w:hAnsi="Microsoft PhagsPa"/>
            <w:sz w:val="18"/>
            <w:szCs w:val="18"/>
            <w:lang w:val="pt-PT"/>
          </w:rPr>
          <w:t>www.doutorfinancas.pt/sobre-doutor-financas/</w:t>
        </w:r>
      </w:hyperlink>
    </w:p>
    <w:p w14:paraId="392A25EA" w14:textId="77777777" w:rsidR="00515FFA" w:rsidRDefault="00515FFA" w:rsidP="002E2AE9">
      <w:pPr>
        <w:spacing w:after="80" w:line="360" w:lineRule="auto"/>
        <w:ind w:left="357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</w:pPr>
    </w:p>
    <w:p w14:paraId="3F255ABE" w14:textId="5B0064DC" w:rsidR="002E2AE9" w:rsidRPr="002E2AE9" w:rsidRDefault="002E2AE9" w:rsidP="00A82966">
      <w:pPr>
        <w:spacing w:after="80" w:line="360" w:lineRule="auto"/>
        <w:jc w:val="both"/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</w:pPr>
      <w:r w:rsidRPr="002E2AE9">
        <w:rPr>
          <w:rFonts w:ascii="Microsoft PhagsPa" w:eastAsia="Microsoft JhengHei UI" w:hAnsi="Microsoft PhagsPa"/>
          <w:b/>
          <w:bCs/>
          <w:color w:val="0195C7"/>
          <w:sz w:val="18"/>
          <w:szCs w:val="18"/>
          <w:lang w:val="pt-PT"/>
        </w:rPr>
        <w:t>Contactos para a Comunicação Social</w:t>
      </w:r>
    </w:p>
    <w:p w14:paraId="1B61C54D" w14:textId="534EF414" w:rsidR="002E2AE9" w:rsidRPr="005100F9" w:rsidRDefault="002E2AE9" w:rsidP="00A82966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  <w:lang w:val="pt-PT"/>
        </w:rPr>
      </w:pPr>
      <w:proofErr w:type="spellStart"/>
      <w:r w:rsidRPr="005100F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  <w:lang w:val="pt-PT"/>
        </w:rPr>
        <w:t>Lift</w:t>
      </w:r>
      <w:proofErr w:type="spellEnd"/>
      <w:r w:rsidRPr="005100F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  <w:lang w:val="pt-PT"/>
        </w:rPr>
        <w:t xml:space="preserve"> </w:t>
      </w:r>
      <w:proofErr w:type="spellStart"/>
      <w:r w:rsidRPr="005100F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u w:val="single"/>
          <w:lang w:val="pt-PT"/>
        </w:rPr>
        <w:t>Consulting</w:t>
      </w:r>
      <w:proofErr w:type="spellEnd"/>
    </w:p>
    <w:p w14:paraId="31C726FB" w14:textId="2E35BFC5" w:rsidR="002E2AE9" w:rsidRPr="005100F9" w:rsidRDefault="00A82966" w:rsidP="00897DA3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5100F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Raquel Rogeiro | </w:t>
      </w:r>
      <w:hyperlink r:id="rId13" w:history="1">
        <w:r w:rsidRPr="005100F9">
          <w:rPr>
            <w:rStyle w:val="Hiperligao"/>
            <w:rFonts w:ascii="Microsoft PhagsPa" w:eastAsia="Microsoft JhengHei UI" w:hAnsi="Microsoft PhagsPa"/>
            <w:color w:val="404040" w:themeColor="text1" w:themeTint="BF"/>
            <w:sz w:val="18"/>
            <w:szCs w:val="18"/>
            <w:lang w:val="pt-PT"/>
          </w:rPr>
          <w:t>raquel.rogeiro@lift.com.pt</w:t>
        </w:r>
      </w:hyperlink>
      <w:r w:rsidRPr="005100F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| 910 7</w:t>
      </w:r>
      <w:r w:rsidR="002D6707" w:rsidRPr="005100F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6</w:t>
      </w:r>
      <w:r w:rsidRPr="005100F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7</w:t>
      </w:r>
      <w:r w:rsidR="00350954" w:rsidRPr="005100F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 </w:t>
      </w:r>
      <w:r w:rsidRPr="005100F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>719</w:t>
      </w:r>
    </w:p>
    <w:p w14:paraId="2C65B97F" w14:textId="418A55EA" w:rsidR="00350954" w:rsidRPr="005100F9" w:rsidRDefault="00350954" w:rsidP="00897DA3">
      <w:pPr>
        <w:spacing w:after="40" w:line="360" w:lineRule="auto"/>
        <w:jc w:val="both"/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</w:pPr>
      <w:r w:rsidRPr="005100F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Miguel Carrilho | </w:t>
      </w:r>
      <w:hyperlink r:id="rId14">
        <w:r w:rsidRPr="005100F9">
          <w:rPr>
            <w:rFonts w:ascii="Microsoft PhagsPa" w:eastAsia="Microsoft JhengHei UI" w:hAnsi="Microsoft PhagsPa"/>
            <w:color w:val="404040" w:themeColor="text1" w:themeTint="BF"/>
            <w:sz w:val="18"/>
            <w:szCs w:val="18"/>
            <w:u w:val="single"/>
            <w:lang w:val="pt-PT"/>
          </w:rPr>
          <w:t>miguel.carrilho@lift.com.pt</w:t>
        </w:r>
      </w:hyperlink>
      <w:r w:rsidRPr="005100F9">
        <w:rPr>
          <w:rFonts w:ascii="Microsoft PhagsPa" w:eastAsia="Microsoft JhengHei UI" w:hAnsi="Microsoft PhagsPa"/>
          <w:color w:val="404040" w:themeColor="text1" w:themeTint="BF"/>
          <w:sz w:val="18"/>
          <w:szCs w:val="18"/>
          <w:lang w:val="pt-PT"/>
        </w:rPr>
        <w:t xml:space="preserve"> | 967 777 714</w:t>
      </w:r>
    </w:p>
    <w:sectPr w:rsidR="00350954" w:rsidRPr="005100F9" w:rsidSect="00C66D98">
      <w:headerReference w:type="default" r:id="rId15"/>
      <w:pgSz w:w="12240" w:h="15840"/>
      <w:pgMar w:top="156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85317" w14:textId="77777777" w:rsidR="00A13975" w:rsidRDefault="00A13975" w:rsidP="00C66D98">
      <w:pPr>
        <w:spacing w:after="0" w:line="240" w:lineRule="auto"/>
      </w:pPr>
      <w:r>
        <w:separator/>
      </w:r>
    </w:p>
  </w:endnote>
  <w:endnote w:type="continuationSeparator" w:id="0">
    <w:p w14:paraId="0CA47420" w14:textId="77777777" w:rsidR="00A13975" w:rsidRDefault="00A13975" w:rsidP="00C66D98">
      <w:pPr>
        <w:spacing w:after="0" w:line="240" w:lineRule="auto"/>
      </w:pPr>
      <w:r>
        <w:continuationSeparator/>
      </w:r>
    </w:p>
  </w:endnote>
  <w:endnote w:type="continuationNotice" w:id="1">
    <w:p w14:paraId="6A7F1FD5" w14:textId="77777777" w:rsidR="00A13975" w:rsidRDefault="00A1397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 Neue Medium">
    <w:panose1 w:val="00000000000000000000"/>
    <w:charset w:val="00"/>
    <w:family w:val="roman"/>
    <w:notTrueType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13CD7" w14:textId="77777777" w:rsidR="00A13975" w:rsidRDefault="00A13975" w:rsidP="00C66D98">
      <w:pPr>
        <w:spacing w:after="0" w:line="240" w:lineRule="auto"/>
      </w:pPr>
      <w:r>
        <w:separator/>
      </w:r>
    </w:p>
  </w:footnote>
  <w:footnote w:type="continuationSeparator" w:id="0">
    <w:p w14:paraId="2C3CD0CF" w14:textId="77777777" w:rsidR="00A13975" w:rsidRDefault="00A13975" w:rsidP="00C66D98">
      <w:pPr>
        <w:spacing w:after="0" w:line="240" w:lineRule="auto"/>
      </w:pPr>
      <w:r>
        <w:continuationSeparator/>
      </w:r>
    </w:p>
  </w:footnote>
  <w:footnote w:type="continuationNotice" w:id="1">
    <w:p w14:paraId="4B8AA548" w14:textId="77777777" w:rsidR="00A13975" w:rsidRDefault="00A1397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1F6EF" w14:textId="5EFE3FFB" w:rsidR="00C66D98" w:rsidRDefault="00C66D98">
    <w:pPr>
      <w:pStyle w:val="Cabealho"/>
    </w:pPr>
    <w:r w:rsidRPr="00C66D98">
      <w:rPr>
        <w:noProof/>
      </w:rPr>
      <w:drawing>
        <wp:anchor distT="0" distB="0" distL="114300" distR="114300" simplePos="0" relativeHeight="251658240" behindDoc="0" locked="0" layoutInCell="1" allowOverlap="1" wp14:anchorId="57C2237E" wp14:editId="33C1D526">
          <wp:simplePos x="0" y="0"/>
          <wp:positionH relativeFrom="margin">
            <wp:posOffset>1539240</wp:posOffset>
          </wp:positionH>
          <wp:positionV relativeFrom="margin">
            <wp:posOffset>-692150</wp:posOffset>
          </wp:positionV>
          <wp:extent cx="2533650" cy="426395"/>
          <wp:effectExtent l="0" t="0" r="0" b="0"/>
          <wp:wrapSquare wrapText="bothSides"/>
          <wp:docPr id="2137444502" name="Imagem 1" descr="A literacia financeira e o Natal">
            <a:extLst xmlns:a="http://schemas.openxmlformats.org/drawingml/2006/main">
              <a:ext uri="{FF2B5EF4-FFF2-40B4-BE49-F238E27FC236}">
                <a16:creationId xmlns:a16="http://schemas.microsoft.com/office/drawing/2014/main" id="{A4E23B95-8B87-496E-B5A1-A7F701F2EE1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iteracia financeira e o Nat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3650" cy="426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261C3C"/>
    <w:multiLevelType w:val="hybridMultilevel"/>
    <w:tmpl w:val="A4889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403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D98"/>
    <w:rsid w:val="00000B5A"/>
    <w:rsid w:val="0001607D"/>
    <w:rsid w:val="000177AE"/>
    <w:rsid w:val="00036CD7"/>
    <w:rsid w:val="00043DEE"/>
    <w:rsid w:val="00053AC4"/>
    <w:rsid w:val="00060D9E"/>
    <w:rsid w:val="00061DF0"/>
    <w:rsid w:val="000777BC"/>
    <w:rsid w:val="000877B3"/>
    <w:rsid w:val="0009723C"/>
    <w:rsid w:val="000A39E5"/>
    <w:rsid w:val="000A50B2"/>
    <w:rsid w:val="000A59A6"/>
    <w:rsid w:val="000A6B1E"/>
    <w:rsid w:val="000B6AB4"/>
    <w:rsid w:val="000C4C77"/>
    <w:rsid w:val="000C694C"/>
    <w:rsid w:val="000D2987"/>
    <w:rsid w:val="000D4E8F"/>
    <w:rsid w:val="000E20FC"/>
    <w:rsid w:val="000E22BB"/>
    <w:rsid w:val="000E7219"/>
    <w:rsid w:val="00106C5C"/>
    <w:rsid w:val="00112376"/>
    <w:rsid w:val="00114644"/>
    <w:rsid w:val="00135B7F"/>
    <w:rsid w:val="00144CCA"/>
    <w:rsid w:val="00154370"/>
    <w:rsid w:val="00154C8C"/>
    <w:rsid w:val="00154DC7"/>
    <w:rsid w:val="00167F99"/>
    <w:rsid w:val="00194159"/>
    <w:rsid w:val="0019663A"/>
    <w:rsid w:val="001A0597"/>
    <w:rsid w:val="001A3AA2"/>
    <w:rsid w:val="001A7C12"/>
    <w:rsid w:val="001B0608"/>
    <w:rsid w:val="001C3427"/>
    <w:rsid w:val="001D75CE"/>
    <w:rsid w:val="001E0DBF"/>
    <w:rsid w:val="001E3070"/>
    <w:rsid w:val="001E5F12"/>
    <w:rsid w:val="001E69D6"/>
    <w:rsid w:val="001F00C3"/>
    <w:rsid w:val="00204D8A"/>
    <w:rsid w:val="0020706E"/>
    <w:rsid w:val="00213B40"/>
    <w:rsid w:val="00223C10"/>
    <w:rsid w:val="002243B0"/>
    <w:rsid w:val="00226730"/>
    <w:rsid w:val="0022722A"/>
    <w:rsid w:val="00237917"/>
    <w:rsid w:val="00237B7D"/>
    <w:rsid w:val="00250AA9"/>
    <w:rsid w:val="00252C4C"/>
    <w:rsid w:val="002606AC"/>
    <w:rsid w:val="0026433B"/>
    <w:rsid w:val="00264E55"/>
    <w:rsid w:val="00272D30"/>
    <w:rsid w:val="00283D1F"/>
    <w:rsid w:val="002951AB"/>
    <w:rsid w:val="002A0255"/>
    <w:rsid w:val="002A145B"/>
    <w:rsid w:val="002A5019"/>
    <w:rsid w:val="002B0CFA"/>
    <w:rsid w:val="002B2ADF"/>
    <w:rsid w:val="002C1ECC"/>
    <w:rsid w:val="002C6675"/>
    <w:rsid w:val="002D1622"/>
    <w:rsid w:val="002D520E"/>
    <w:rsid w:val="002D6707"/>
    <w:rsid w:val="002E2AE9"/>
    <w:rsid w:val="002E3E15"/>
    <w:rsid w:val="002E4987"/>
    <w:rsid w:val="002E6F33"/>
    <w:rsid w:val="002E7093"/>
    <w:rsid w:val="00317586"/>
    <w:rsid w:val="00320C89"/>
    <w:rsid w:val="00322850"/>
    <w:rsid w:val="00322BDB"/>
    <w:rsid w:val="003336D1"/>
    <w:rsid w:val="00335F90"/>
    <w:rsid w:val="00336D80"/>
    <w:rsid w:val="00341B40"/>
    <w:rsid w:val="0034409F"/>
    <w:rsid w:val="0034641D"/>
    <w:rsid w:val="00346DB9"/>
    <w:rsid w:val="003471A4"/>
    <w:rsid w:val="00350954"/>
    <w:rsid w:val="0035189D"/>
    <w:rsid w:val="00356488"/>
    <w:rsid w:val="00360F88"/>
    <w:rsid w:val="00361C79"/>
    <w:rsid w:val="00364439"/>
    <w:rsid w:val="00367700"/>
    <w:rsid w:val="00372C0A"/>
    <w:rsid w:val="00380D74"/>
    <w:rsid w:val="0038601C"/>
    <w:rsid w:val="003870BE"/>
    <w:rsid w:val="00397839"/>
    <w:rsid w:val="003A7090"/>
    <w:rsid w:val="003A7D4E"/>
    <w:rsid w:val="003B615B"/>
    <w:rsid w:val="003D59A7"/>
    <w:rsid w:val="003D65BA"/>
    <w:rsid w:val="003D660F"/>
    <w:rsid w:val="003E058C"/>
    <w:rsid w:val="00402890"/>
    <w:rsid w:val="00403F0E"/>
    <w:rsid w:val="00406E81"/>
    <w:rsid w:val="0041000F"/>
    <w:rsid w:val="00415056"/>
    <w:rsid w:val="00415969"/>
    <w:rsid w:val="00417FBD"/>
    <w:rsid w:val="004205F2"/>
    <w:rsid w:val="00421036"/>
    <w:rsid w:val="00421C3B"/>
    <w:rsid w:val="00426B1C"/>
    <w:rsid w:val="0043131C"/>
    <w:rsid w:val="004418B8"/>
    <w:rsid w:val="004445F2"/>
    <w:rsid w:val="004515EC"/>
    <w:rsid w:val="00451B60"/>
    <w:rsid w:val="004545FD"/>
    <w:rsid w:val="004629CD"/>
    <w:rsid w:val="00466213"/>
    <w:rsid w:val="00487602"/>
    <w:rsid w:val="00490648"/>
    <w:rsid w:val="00490E6B"/>
    <w:rsid w:val="00494C4F"/>
    <w:rsid w:val="004C118C"/>
    <w:rsid w:val="004E66F9"/>
    <w:rsid w:val="00505031"/>
    <w:rsid w:val="005100F9"/>
    <w:rsid w:val="00511549"/>
    <w:rsid w:val="00515F65"/>
    <w:rsid w:val="00515FFA"/>
    <w:rsid w:val="00520435"/>
    <w:rsid w:val="00524739"/>
    <w:rsid w:val="005310F7"/>
    <w:rsid w:val="0053251E"/>
    <w:rsid w:val="00534BE8"/>
    <w:rsid w:val="005355CF"/>
    <w:rsid w:val="005432C9"/>
    <w:rsid w:val="00566636"/>
    <w:rsid w:val="00571A22"/>
    <w:rsid w:val="00573C31"/>
    <w:rsid w:val="00581AAF"/>
    <w:rsid w:val="00596034"/>
    <w:rsid w:val="00597F57"/>
    <w:rsid w:val="005A3A51"/>
    <w:rsid w:val="005A43F9"/>
    <w:rsid w:val="005B1673"/>
    <w:rsid w:val="005B3CB0"/>
    <w:rsid w:val="005B7F71"/>
    <w:rsid w:val="005C51BD"/>
    <w:rsid w:val="005C5F97"/>
    <w:rsid w:val="005C6A38"/>
    <w:rsid w:val="005D0F11"/>
    <w:rsid w:val="005D3218"/>
    <w:rsid w:val="005D7DD5"/>
    <w:rsid w:val="005E010F"/>
    <w:rsid w:val="005E1620"/>
    <w:rsid w:val="005F0CF9"/>
    <w:rsid w:val="005F2A3D"/>
    <w:rsid w:val="0060008D"/>
    <w:rsid w:val="00603E31"/>
    <w:rsid w:val="00604C01"/>
    <w:rsid w:val="0062151B"/>
    <w:rsid w:val="0064237C"/>
    <w:rsid w:val="00642A79"/>
    <w:rsid w:val="006440C8"/>
    <w:rsid w:val="00645121"/>
    <w:rsid w:val="0065340A"/>
    <w:rsid w:val="006610D9"/>
    <w:rsid w:val="00661DE8"/>
    <w:rsid w:val="0066510D"/>
    <w:rsid w:val="00667D20"/>
    <w:rsid w:val="00670F21"/>
    <w:rsid w:val="00671DBB"/>
    <w:rsid w:val="006731BA"/>
    <w:rsid w:val="006814C7"/>
    <w:rsid w:val="00683BF3"/>
    <w:rsid w:val="006935C7"/>
    <w:rsid w:val="006A3421"/>
    <w:rsid w:val="006A6979"/>
    <w:rsid w:val="006B3189"/>
    <w:rsid w:val="006D1158"/>
    <w:rsid w:val="006E0D0B"/>
    <w:rsid w:val="006E1316"/>
    <w:rsid w:val="006F3F49"/>
    <w:rsid w:val="006F700C"/>
    <w:rsid w:val="007179C7"/>
    <w:rsid w:val="00717C0B"/>
    <w:rsid w:val="0072476B"/>
    <w:rsid w:val="00735AA3"/>
    <w:rsid w:val="00737C2D"/>
    <w:rsid w:val="00744FF3"/>
    <w:rsid w:val="00747EB8"/>
    <w:rsid w:val="0075670E"/>
    <w:rsid w:val="00785AF1"/>
    <w:rsid w:val="007A34B5"/>
    <w:rsid w:val="007A3A2E"/>
    <w:rsid w:val="007A5B95"/>
    <w:rsid w:val="007B4964"/>
    <w:rsid w:val="007C4C0D"/>
    <w:rsid w:val="007C51E8"/>
    <w:rsid w:val="007D23E0"/>
    <w:rsid w:val="007E1E59"/>
    <w:rsid w:val="007E767D"/>
    <w:rsid w:val="00805D60"/>
    <w:rsid w:val="00806829"/>
    <w:rsid w:val="00807358"/>
    <w:rsid w:val="00807ED2"/>
    <w:rsid w:val="00810F8F"/>
    <w:rsid w:val="0081117F"/>
    <w:rsid w:val="0081415F"/>
    <w:rsid w:val="0081634E"/>
    <w:rsid w:val="008177CC"/>
    <w:rsid w:val="0083698C"/>
    <w:rsid w:val="00850807"/>
    <w:rsid w:val="00853014"/>
    <w:rsid w:val="00856332"/>
    <w:rsid w:val="00860B42"/>
    <w:rsid w:val="00860F42"/>
    <w:rsid w:val="008817E2"/>
    <w:rsid w:val="00886A91"/>
    <w:rsid w:val="008913E5"/>
    <w:rsid w:val="00895134"/>
    <w:rsid w:val="00895CCE"/>
    <w:rsid w:val="00897DA3"/>
    <w:rsid w:val="008B0126"/>
    <w:rsid w:val="008B22BC"/>
    <w:rsid w:val="008B731D"/>
    <w:rsid w:val="008B7D6C"/>
    <w:rsid w:val="008C1638"/>
    <w:rsid w:val="008C3AA2"/>
    <w:rsid w:val="008C5813"/>
    <w:rsid w:val="008C6004"/>
    <w:rsid w:val="008C7A1E"/>
    <w:rsid w:val="008D4276"/>
    <w:rsid w:val="008E17F9"/>
    <w:rsid w:val="008E3584"/>
    <w:rsid w:val="008E5192"/>
    <w:rsid w:val="008E5348"/>
    <w:rsid w:val="008E5386"/>
    <w:rsid w:val="008E6B53"/>
    <w:rsid w:val="008F783B"/>
    <w:rsid w:val="00901F27"/>
    <w:rsid w:val="00902649"/>
    <w:rsid w:val="00914779"/>
    <w:rsid w:val="00914DF4"/>
    <w:rsid w:val="00915D07"/>
    <w:rsid w:val="0092231F"/>
    <w:rsid w:val="00924320"/>
    <w:rsid w:val="00930937"/>
    <w:rsid w:val="0093623B"/>
    <w:rsid w:val="00946327"/>
    <w:rsid w:val="0095019B"/>
    <w:rsid w:val="00955962"/>
    <w:rsid w:val="0095622C"/>
    <w:rsid w:val="00974F8E"/>
    <w:rsid w:val="009901B3"/>
    <w:rsid w:val="009966A6"/>
    <w:rsid w:val="0099768E"/>
    <w:rsid w:val="009B38B9"/>
    <w:rsid w:val="009B4C7A"/>
    <w:rsid w:val="009C0F53"/>
    <w:rsid w:val="009C4798"/>
    <w:rsid w:val="009C5FE6"/>
    <w:rsid w:val="009D097B"/>
    <w:rsid w:val="009D3624"/>
    <w:rsid w:val="009D46E3"/>
    <w:rsid w:val="009E2A44"/>
    <w:rsid w:val="009E778F"/>
    <w:rsid w:val="009F2B25"/>
    <w:rsid w:val="009F32D0"/>
    <w:rsid w:val="009F475D"/>
    <w:rsid w:val="00A03B34"/>
    <w:rsid w:val="00A06CD9"/>
    <w:rsid w:val="00A11537"/>
    <w:rsid w:val="00A13975"/>
    <w:rsid w:val="00A15581"/>
    <w:rsid w:val="00A23A23"/>
    <w:rsid w:val="00A26E91"/>
    <w:rsid w:val="00A3583E"/>
    <w:rsid w:val="00A4023B"/>
    <w:rsid w:val="00A50D7A"/>
    <w:rsid w:val="00A8261E"/>
    <w:rsid w:val="00A82966"/>
    <w:rsid w:val="00A86C22"/>
    <w:rsid w:val="00AA18F5"/>
    <w:rsid w:val="00AA39A8"/>
    <w:rsid w:val="00AA5E8F"/>
    <w:rsid w:val="00AB07E9"/>
    <w:rsid w:val="00AB4743"/>
    <w:rsid w:val="00AC1603"/>
    <w:rsid w:val="00AD5080"/>
    <w:rsid w:val="00AD7B34"/>
    <w:rsid w:val="00AE23DC"/>
    <w:rsid w:val="00B00CCC"/>
    <w:rsid w:val="00B11FDE"/>
    <w:rsid w:val="00B1620B"/>
    <w:rsid w:val="00B2349F"/>
    <w:rsid w:val="00B31633"/>
    <w:rsid w:val="00B32617"/>
    <w:rsid w:val="00B3692F"/>
    <w:rsid w:val="00B44458"/>
    <w:rsid w:val="00B529AF"/>
    <w:rsid w:val="00B5527D"/>
    <w:rsid w:val="00B5611B"/>
    <w:rsid w:val="00B609C8"/>
    <w:rsid w:val="00B61588"/>
    <w:rsid w:val="00B67E10"/>
    <w:rsid w:val="00B70CFA"/>
    <w:rsid w:val="00B92F0E"/>
    <w:rsid w:val="00B948CA"/>
    <w:rsid w:val="00B97353"/>
    <w:rsid w:val="00BA3BEA"/>
    <w:rsid w:val="00BB7091"/>
    <w:rsid w:val="00BC119D"/>
    <w:rsid w:val="00BD4DE2"/>
    <w:rsid w:val="00BE1375"/>
    <w:rsid w:val="00BE6A4A"/>
    <w:rsid w:val="00BF077A"/>
    <w:rsid w:val="00BF3B1E"/>
    <w:rsid w:val="00BF6365"/>
    <w:rsid w:val="00C12E03"/>
    <w:rsid w:val="00C17F35"/>
    <w:rsid w:val="00C20B3E"/>
    <w:rsid w:val="00C2273B"/>
    <w:rsid w:val="00C32E1E"/>
    <w:rsid w:val="00C33543"/>
    <w:rsid w:val="00C46668"/>
    <w:rsid w:val="00C466CF"/>
    <w:rsid w:val="00C4738F"/>
    <w:rsid w:val="00C57ADE"/>
    <w:rsid w:val="00C6442A"/>
    <w:rsid w:val="00C66D98"/>
    <w:rsid w:val="00C71254"/>
    <w:rsid w:val="00C72937"/>
    <w:rsid w:val="00C765AA"/>
    <w:rsid w:val="00C831B4"/>
    <w:rsid w:val="00C83396"/>
    <w:rsid w:val="00C83D7F"/>
    <w:rsid w:val="00CA61EB"/>
    <w:rsid w:val="00CB2701"/>
    <w:rsid w:val="00CB5633"/>
    <w:rsid w:val="00CC01DA"/>
    <w:rsid w:val="00CC6D67"/>
    <w:rsid w:val="00CE4FC8"/>
    <w:rsid w:val="00CF6B74"/>
    <w:rsid w:val="00D06E0F"/>
    <w:rsid w:val="00D17513"/>
    <w:rsid w:val="00D21188"/>
    <w:rsid w:val="00D228EF"/>
    <w:rsid w:val="00D24B71"/>
    <w:rsid w:val="00D24C01"/>
    <w:rsid w:val="00D31C30"/>
    <w:rsid w:val="00D3298A"/>
    <w:rsid w:val="00D35B49"/>
    <w:rsid w:val="00D4022A"/>
    <w:rsid w:val="00D55C18"/>
    <w:rsid w:val="00D63B64"/>
    <w:rsid w:val="00D64503"/>
    <w:rsid w:val="00D814BD"/>
    <w:rsid w:val="00D82E09"/>
    <w:rsid w:val="00D82EA0"/>
    <w:rsid w:val="00D83DE4"/>
    <w:rsid w:val="00D86CB7"/>
    <w:rsid w:val="00D911EC"/>
    <w:rsid w:val="00D93236"/>
    <w:rsid w:val="00DC1E25"/>
    <w:rsid w:val="00DC25EE"/>
    <w:rsid w:val="00DC49E1"/>
    <w:rsid w:val="00DD1481"/>
    <w:rsid w:val="00DF2F77"/>
    <w:rsid w:val="00E037B5"/>
    <w:rsid w:val="00E04C41"/>
    <w:rsid w:val="00E06FB7"/>
    <w:rsid w:val="00E10620"/>
    <w:rsid w:val="00E12579"/>
    <w:rsid w:val="00E22859"/>
    <w:rsid w:val="00E23DAD"/>
    <w:rsid w:val="00E3078A"/>
    <w:rsid w:val="00E378AB"/>
    <w:rsid w:val="00E529AF"/>
    <w:rsid w:val="00E61CAC"/>
    <w:rsid w:val="00E70E12"/>
    <w:rsid w:val="00E807D5"/>
    <w:rsid w:val="00E82F5B"/>
    <w:rsid w:val="00E85C56"/>
    <w:rsid w:val="00E92401"/>
    <w:rsid w:val="00E92856"/>
    <w:rsid w:val="00E96574"/>
    <w:rsid w:val="00E9739D"/>
    <w:rsid w:val="00EA2260"/>
    <w:rsid w:val="00EB05C6"/>
    <w:rsid w:val="00EB18B5"/>
    <w:rsid w:val="00EB2656"/>
    <w:rsid w:val="00EB3FC1"/>
    <w:rsid w:val="00ED07DE"/>
    <w:rsid w:val="00ED71B8"/>
    <w:rsid w:val="00ED7689"/>
    <w:rsid w:val="00EE53E7"/>
    <w:rsid w:val="00EF0AF2"/>
    <w:rsid w:val="00EF6AFD"/>
    <w:rsid w:val="00EF6B41"/>
    <w:rsid w:val="00F00C7B"/>
    <w:rsid w:val="00F03F1A"/>
    <w:rsid w:val="00F12584"/>
    <w:rsid w:val="00F13E37"/>
    <w:rsid w:val="00F17217"/>
    <w:rsid w:val="00F20202"/>
    <w:rsid w:val="00F20443"/>
    <w:rsid w:val="00F20DF1"/>
    <w:rsid w:val="00F21900"/>
    <w:rsid w:val="00F40A49"/>
    <w:rsid w:val="00F436EF"/>
    <w:rsid w:val="00F70FF4"/>
    <w:rsid w:val="00F81B7D"/>
    <w:rsid w:val="00F85956"/>
    <w:rsid w:val="00FA7B59"/>
    <w:rsid w:val="00FB6CC6"/>
    <w:rsid w:val="00FB6E93"/>
    <w:rsid w:val="00FC2EE8"/>
    <w:rsid w:val="00FF4988"/>
    <w:rsid w:val="013EDD05"/>
    <w:rsid w:val="05575415"/>
    <w:rsid w:val="08D5CFF2"/>
    <w:rsid w:val="0B052716"/>
    <w:rsid w:val="0BEED76F"/>
    <w:rsid w:val="185D78C7"/>
    <w:rsid w:val="1C26C980"/>
    <w:rsid w:val="1C599CE3"/>
    <w:rsid w:val="24AA4B67"/>
    <w:rsid w:val="2CD065B8"/>
    <w:rsid w:val="455C5667"/>
    <w:rsid w:val="4A7AB43A"/>
    <w:rsid w:val="4D8E573B"/>
    <w:rsid w:val="5A825BA1"/>
    <w:rsid w:val="604310AA"/>
    <w:rsid w:val="6069778A"/>
    <w:rsid w:val="6A0E0795"/>
    <w:rsid w:val="7174EF42"/>
    <w:rsid w:val="787A4C90"/>
    <w:rsid w:val="7C6C50DE"/>
    <w:rsid w:val="7D7C1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7616"/>
  <w15:chartTrackingRefBased/>
  <w15:docId w15:val="{47A22392-BBBE-4429-9F1F-374491766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C66D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C66D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C66D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C66D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C66D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C66D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C66D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C66D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C66D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C66D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C66D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C66D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C66D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C66D9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C66D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C66D9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C66D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C66D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C66D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C66D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C66D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C66D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C66D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C66D9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66D9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C66D9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C66D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C66D9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C66D98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C66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C66D98"/>
  </w:style>
  <w:style w:type="paragraph" w:styleId="Rodap">
    <w:name w:val="footer"/>
    <w:basedOn w:val="Normal"/>
    <w:link w:val="RodapCarter"/>
    <w:uiPriority w:val="99"/>
    <w:unhideWhenUsed/>
    <w:rsid w:val="00C66D9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C66D98"/>
  </w:style>
  <w:style w:type="character" w:styleId="Hiperligao">
    <w:name w:val="Hyperlink"/>
    <w:basedOn w:val="Tipodeletrapredefinidodopargrafo"/>
    <w:uiPriority w:val="99"/>
    <w:unhideWhenUsed/>
    <w:rsid w:val="002E2AE9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E2AE9"/>
    <w:rPr>
      <w:color w:val="605E5C"/>
      <w:shd w:val="clear" w:color="auto" w:fill="E1DFDD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E2AE9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2E2AE9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2E2AE9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E2AE9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E2AE9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167F99"/>
    <w:pPr>
      <w:spacing w:after="0" w:line="240" w:lineRule="auto"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451B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quel.rogeiro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outorfinancas.pt/sobre-doutor-financas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outorfinancas.pt/observatorio-do-imobiliario/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www.doutorfinancas.pt/observatorio-do-imobiliario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iguel.carrilho@lift.com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430281-fad7-436a-b902-e011d6f73fb0">
      <Terms xmlns="http://schemas.microsoft.com/office/infopath/2007/PartnerControls"/>
    </lcf76f155ced4ddcb4097134ff3c332f>
    <TaxCatchAll xmlns="758c6338-9cc2-440b-9e2c-ab0d12a0ff2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2CC265F5C2334985E4B3FC6F05D8EC" ma:contentTypeVersion="11" ma:contentTypeDescription="Criar um novo documento." ma:contentTypeScope="" ma:versionID="3e0c0f55a9c5d0c1b4c732b1ee1ee6dc">
  <xsd:schema xmlns:xsd="http://www.w3.org/2001/XMLSchema" xmlns:xs="http://www.w3.org/2001/XMLSchema" xmlns:p="http://schemas.microsoft.com/office/2006/metadata/properties" xmlns:ns2="5b430281-fad7-436a-b902-e011d6f73fb0" xmlns:ns3="758c6338-9cc2-440b-9e2c-ab0d12a0ff25" targetNamespace="http://schemas.microsoft.com/office/2006/metadata/properties" ma:root="true" ma:fieldsID="266be52e6d20fefa9b2cb8ff3e2c2dc4" ns2:_="" ns3:_="">
    <xsd:import namespace="5b430281-fad7-436a-b902-e011d6f73fb0"/>
    <xsd:import namespace="758c6338-9cc2-440b-9e2c-ab0d12a0f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30281-fad7-436a-b902-e011d6f73f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ddcb7503-4b75-4e84-976f-67b56c43c8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8c6338-9cc2-440b-9e2c-ab0d12a0ff2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e6d457-6d3e-4a1d-bab7-9564f40c69ee}" ma:internalName="TaxCatchAll" ma:showField="CatchAllData" ma:web="758c6338-9cc2-440b-9e2c-ab0d12a0f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0B4A6B-0C42-4D8E-97A6-8E18AB38C4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C5965-E003-404F-A887-C3ED02F3D5D5}">
  <ds:schemaRefs>
    <ds:schemaRef ds:uri="http://schemas.microsoft.com/office/2006/metadata/properties"/>
    <ds:schemaRef ds:uri="http://schemas.microsoft.com/office/infopath/2007/PartnerControls"/>
    <ds:schemaRef ds:uri="5b430281-fad7-436a-b902-e011d6f73fb0"/>
    <ds:schemaRef ds:uri="758c6338-9cc2-440b-9e2c-ab0d12a0ff25"/>
  </ds:schemaRefs>
</ds:datastoreItem>
</file>

<file path=customXml/itemProps3.xml><?xml version="1.0" encoding="utf-8"?>
<ds:datastoreItem xmlns:ds="http://schemas.openxmlformats.org/officeDocument/2006/customXml" ds:itemID="{B52479AE-C079-4523-BBAB-5B25EB2E66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430281-fad7-436a-b902-e011d6f73fb0"/>
    <ds:schemaRef ds:uri="758c6338-9cc2-440b-9e2c-ab0d12a0f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1126</Words>
  <Characters>6085</Characters>
  <Application>Microsoft Office Word</Application>
  <DocSecurity>0</DocSecurity>
  <Lines>50</Lines>
  <Paragraphs>14</Paragraphs>
  <ScaleCrop>false</ScaleCrop>
  <Company/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Duarte</dc:creator>
  <cp:keywords/>
  <dc:description/>
  <cp:lastModifiedBy>Miguel Carrilho</cp:lastModifiedBy>
  <cp:revision>49</cp:revision>
  <cp:lastPrinted>2026-01-14T01:36:00Z</cp:lastPrinted>
  <dcterms:created xsi:type="dcterms:W3CDTF">2026-04-13T08:26:00Z</dcterms:created>
  <dcterms:modified xsi:type="dcterms:W3CDTF">2026-07-10T13:40:00Z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0x010100CE2CC265F5C2334985E4B3FC6F05D8EC</vt:lpwstr>
  </property>
  <property fmtid="{D5CDD505-2E9C-101B-9397-08002B2CF9AE}" pid="3" name="MediaServiceImageTags">
    <vt:lpwstr/>
  </property>
</Properties>
</file>