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-6349</wp:posOffset>
                </wp:positionH>
                <wp:positionV relativeFrom="paragraph">
                  <wp:posOffset>-10160</wp:posOffset>
                </wp:positionV>
                <wp:extent cx="6082574" cy="688975"/>
                <wp:effectExtent b="0" l="0" r="0" t="0"/>
                <wp:wrapNone/>
                <wp:docPr id="1" name=""/>
                <a:graphic>
                  <a:graphicData uri="http://schemas.microsoft.com/office/word/2010/wordprocessingShape">
                    <wps:wsp>
                      <wps:cNvSpPr/>
                      <wps:cNvPr id="2" name="Shape 2"/>
                      <wps:spPr>
                        <a:xfrm>
                          <a:off x="2311063" y="3441863"/>
                          <a:ext cx="6069874" cy="676275"/>
                        </a:xfrm>
                        <a:prstGeom prst="rect">
                          <a:avLst/>
                        </a:prstGeom>
                        <a:noFill/>
                        <a:ln cap="flat" cmpd="sng" w="12700">
                          <a:solidFill>
                            <a:srgbClr val="FF0000"/>
                          </a:solidFill>
                          <a:prstDash val="solid"/>
                          <a:miter lim="8000"/>
                          <a:headEnd len="sm" w="sm" type="none"/>
                          <a:tailEnd len="sm" w="sm" type="none"/>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ff0000"/>
                                <w:sz w:val="22"/>
                                <w:u w:val="single"/>
                                <w:vertAlign w:val="baseline"/>
                              </w:rPr>
                              <w:t xml:space="preserve">Οδηγίες για εκπροσώπους δημοσίων σχέσεων της Samsung</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0000"/>
                                <w:sz w:val="22"/>
                                <w:u w:val="single"/>
                                <w:vertAlign w:val="baseline"/>
                              </w:rPr>
                            </w:r>
                            <w:r w:rsidDel="00000000" w:rsidR="00000000" w:rsidRPr="00000000">
                              <w:rPr>
                                <w:rFonts w:ascii="Arial" w:cs="Arial" w:eastAsia="Arial" w:hAnsi="Arial"/>
                                <w:b w:val="0"/>
                                <w:i w:val="0"/>
                                <w:smallCaps w:val="0"/>
                                <w:strike w:val="0"/>
                                <w:color w:val="ff0000"/>
                                <w:sz w:val="16"/>
                                <w:vertAlign w:val="baseline"/>
                              </w:rPr>
                              <w:t xml:space="preserve">Παρακαλείσθε να προωθήσετε το θέμα σε επιλεγμένα μέσα ενημέρωσης τεχνολογίας, με βάση τις παρακάτω κατευθυντήριες γραμμές. Λάβετε υπόψη ότι δεν θα εκδώσουμε δελτίο τύπου μέσω πρακτορείου ειδήσεων ή μέσω του Newsroom. Η απαγόρευση δημοσίευσης έχει οριστεί για ▲14 Ιουλίου, 9 π.μ. PDT ▲14 Ιουλίου, 6 μ.μ. CET ▲15 Ιουλίου, 1 π.μ. KST.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-6349</wp:posOffset>
                </wp:positionH>
                <wp:positionV relativeFrom="paragraph">
                  <wp:posOffset>-10160</wp:posOffset>
                </wp:positionV>
                <wp:extent cx="6082574" cy="688975"/>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082574" cy="68897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0"/>
          <w:szCs w:val="20"/>
          <w:highlight w:val="yellow"/>
          <w:u w:val="none"/>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Pr>
        <w:drawing>
          <wp:inline distB="0" distT="0" distL="0" distR="0">
            <wp:extent cx="1381916" cy="214197"/>
            <wp:effectExtent b="0" l="0" r="0" t="0"/>
            <wp:docPr descr="Ένα μπλε γράμμα σε μαύρο φόντο&#10;&#10;Η περιγραφή δημιουργήθηκε αυτόματα" id="2" name="image1.png"/>
            <a:graphic>
              <a:graphicData uri="http://schemas.openxmlformats.org/drawingml/2006/picture">
                <pic:pic>
                  <pic:nvPicPr>
                    <pic:cNvPr descr="Ένα μπλε γράμμα σε μαύρο φόντο&#10;&#10;Η περιγραφή δημιουργήθηκε αυτόματα" id="0" name="image1.png"/>
                    <pic:cNvPicPr preferRelativeResize="0"/>
                  </pic:nvPicPr>
                  <pic:blipFill>
                    <a:blip r:embed="rId9"/>
                    <a:srcRect b="0" l="0" r="0" t="0"/>
                    <a:stretch>
                      <a:fillRect/>
                    </a:stretch>
                  </pic:blipFill>
                  <pic:spPr>
                    <a:xfrm>
                      <a:off x="0" y="0"/>
                      <a:ext cx="1381916" cy="21419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Η Samsung παρουσιάζει το νέο SSD 990 με ισχυρές επιδόσεις και βελτιωμένη ενεργειακή απόδοση</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Ο SSD Samsung 990 προσφέρει δυνατές επιδόσεις, με ταχύτητα σειριακής ανάγνωσης έως 7.250 MB/s και βελτιωμένη ενεργειακή απόδοση κατά 38%, σε σχέση με τον προκάτοχό του</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Οι επιλογές χωρητικότητας 1 TB και 2 TB διευρύνουν τις επιλογές αναβάθμισης των υπολογιστών για τους καταναλωτές, καλύπτοντας ανάγκες που κυμαίνονται από την καθημερινή χρήση έως τα βιντεοπαιχνίδια και τη δημιουργία περιεχομένου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0"/>
          <w:szCs w:val="20"/>
          <w:u w:val="none"/>
          <w:shd w:fill="auto" w:val="clear"/>
          <w:vertAlign w:val="baseline"/>
          <w:rtl w:val="0"/>
        </w:rPr>
        <w:t xml:space="preserve">Η Samsung Electronics ανακοίνωσε σήμερα την κυκλοφορία του νέου σκληρού δίσκου SSD 990, ο οποίος είναι διαθέσιμος σε χωρητικότητες 1 terabyte (TB) και 2 TB.</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Με εξαιρετική απόδοση σε σειριακές λειτουργίες και βελτιωμένη ενεργειακή απόδοση, ο SSD Samsung 990 έχει σχεδιαστεί ως μια ισορροπημένη λύση αποθήκευσης, βελτιστοποιημένη για gaming και δημιουργικές εργασίες, καθώς και για καθημερινή χρήση του υπολογιστή.</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«Ο νέος SSD 990 της Samsung αποτελεί εξαιρετική λύση για ένα ευρύ φάσμα χρηστών που επιθυμούν να επεκτείνουν τον αποθηκευτικό τους χώρο, για απαιτητικούς φόρτους εργασίας, συναρπαστικό gaming, δημιουργία περιεχομένου υψηλής ανάλυσης και σύνθεση υπολογιστών από τους ίδιους», δήλωσε ο Tommy (Hyoungsuk) Kwon, Αντιπρόεδρος της Επιχειρηματικής Ομάδας Προϊόντων Μνήμης Επωνυμίας της Samsung Electronics.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Χάρη στην υποστήριξη PCIe 4.0 και στις πιο πρόσφατες τεχνολογίες NAND, το μοντέλο SSD Samsung 990 χωρητικότητας 2 TB προσφέρει ταχύτητα σειριακής ανάγνωσης έως και 7.250 megabytes ανά δευτερόλεπτο (MB/s), ενώ το μοντέλο χωρητικότητας 1 TB φτάνει τα 7.150 MB/s. Και τα δύο μοντέλα προσφέρουν ταχύτητες διαδοχικής εγγραφής έως και 6.450 MB/s, για γρήγορες μεταφορές αρχείων και μειωμένους χρόνους φόρτωσης.</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Όσον αφορά την απόδοση τυχαίων λειτουργιών, το μοντέλο των 2 TB προσφέρει έως 850K IOPS ανάγνωσης και 1.200K IOPS εγγραφής, ενώ το μοντέλο του 1 TB επιτυγχάνει ταχύτητες ανάγνωσης και εγγραφής έως 700K και 1.100K IOPS, αντίστοιχα. Χάρη σε αυτές τις δυνατότητες, χρήστες απολαμβάνουν ταχύτερη εκκίνηση των εφαρμογών, ομαλή εμπειρία παιχνιδιού και αποτελεσματική διαχείριση φόρτων εργασίας μεγάλης κλίμακας.</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Η αυξημένη χωρητικότητα αποθήκευσης επιτρέπει επίσης στους χρήστες να αποθηκεύουν μεγάλες ποσότητες περιεχομένου υψηλής ποιότητας, καθώς και τα πιο πρόσφατα παιχνίδια κατηγορίας AAA. Το μοντέλο των 2 TB μπορεί να αποθηκεύσει έως και 30 παιχνίδια μεγάλης κλίμακας, με βάση ένα μέσο μέγεθος 64 GB</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γεγονός που το καθιστά ιδανική λύση για gamer και δημιουργούς που διαχειρίζονται αρχεία και εφαρμογές με ολοένα και μεγαλύτερο μέγεθος.</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Ο SSD Samsung 990 έχει επίσης επιτύχει σημαντικές βελτιώσεις στην ενεργειακή απόδοση. Συγκριτικά με το προηγούμενο μοντέλο 990 PRO, η ενεργειακή απόδοση έχει βελτιωθεί κατά έως και 38%</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Pr>
        <w:footnoteReference w:customMarkFollows="0" w:id="1"/>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επιτρέποντας στους χρήστες να επιτυγχάνουν υψηλή απόδοση με χαμηλότερη κατανάλωση ενέργειας.</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Το λογισμικό Samsung Magician συμβάλλει στη διατήρηση της βέλτιστης απόδοσης των SSD, όπως και του Samsung 990. Υποστηρίζει την ομαλή μετεγκατάσταση δεδομένων και την παρακολούθηση της κατάστασης των δίσκων, επιτρέποντας στους χρήστες να επωφεληθούν από την εξατομικευμένη βελτιστοποίηση της απόδοσης και την αξιόπιστη προστασία των δεδομένων.</w:t>
      </w:r>
    </w:p>
    <w:tbl>
      <w:tblPr>
        <w:tblStyle w:val="Table1"/>
        <w:tblpPr w:leftFromText="142" w:rightFromText="142" w:topFromText="0" w:bottomFromText="0" w:vertAnchor="text" w:horzAnchor="text" w:tblpX="0" w:tblpY="824"/>
        <w:tblW w:w="9904.0" w:type="dxa"/>
        <w:jc w:val="left"/>
        <w:tblLayout w:type="fixed"/>
        <w:tblLook w:val="0400"/>
      </w:tblPr>
      <w:tblGrid>
        <w:gridCol w:w="2477"/>
        <w:gridCol w:w="3713"/>
        <w:gridCol w:w="3714"/>
        <w:tblGridChange w:id="0">
          <w:tblGrid>
            <w:gridCol w:w="2477"/>
            <w:gridCol w:w="3713"/>
            <w:gridCol w:w="3714"/>
          </w:tblGrid>
        </w:tblGridChange>
      </w:tblGrid>
      <w:tr>
        <w:trPr>
          <w:cantSplit w:val="0"/>
          <w:trHeight w:val="732" w:hRule="atLeast"/>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Samsung 990 SSD </w:t>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1">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Διεπαφή</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PCIe® 4.0 x4 NVMe™ 2.0</w:t>
            </w:r>
            <w:r w:rsidDel="00000000" w:rsidR="00000000" w:rsidRPr="00000000">
              <w:rPr>
                <w:rFonts w:ascii="Arial" w:cs="Arial" w:eastAsia="Arial" w:hAnsi="Arial"/>
                <w:color w:val="000000"/>
                <w:vertAlign w:val="superscript"/>
              </w:rPr>
              <w:footnoteReference w:customMarkFollows="0" w:id="2"/>
            </w:r>
            <w:r w:rsidDel="00000000" w:rsidR="00000000" w:rsidRPr="00000000">
              <w:rPr>
                <w:rtl w:val="0"/>
              </w:rPr>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4">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Συντελεστής μορφής</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M.2 (2280)</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7">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Μνήμη αποθήκευσης</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18">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Samsung V-NAND</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Ελεγκτής</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Εσωτερικός ελεγκτής της Samsung</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Χωρητικότητα</w:t>
            </w:r>
            <w:r w:rsidDel="00000000" w:rsidR="00000000" w:rsidRPr="00000000">
              <w:rPr>
                <w:rFonts w:ascii="Arial" w:cs="Arial" w:eastAsia="Arial" w:hAnsi="Arial"/>
                <w:color w:val="000000"/>
                <w:vertAlign w:val="superscript"/>
              </w:rPr>
              <w:footnoteReference w:customMarkFollows="0" w:id="3"/>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1 TB</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F">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2 TB</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Ταχύτητα διαδοχικής ανάγνωσης/εγγραφής</w:t>
            </w:r>
            <w:r w:rsidDel="00000000" w:rsidR="00000000" w:rsidRPr="00000000">
              <w:rPr>
                <w:rFonts w:ascii="Malgun Gothic" w:cs="Malgun Gothic" w:eastAsia="Malgun Gothic" w:hAnsi="Malgun Gothic"/>
                <w:color w:val="000000"/>
                <w:sz w:val="22"/>
                <w:szCs w:val="22"/>
                <w:vertAlign w:val="superscript"/>
              </w:rPr>
              <w:footnoteReference w:customMarkFollows="0" w:id="4"/>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1">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Έως 7.150 MB/s, 6.450 MB/s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2">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Έως 7.250 MB/s, 6.450 MB/s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1"/>
              <w:spacing w:after="0" w:line="240" w:lineRule="auto"/>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Ταχύτητα τυχαίας ανάγνωσης/εγγραφής (QD32)</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4">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Έως 700 K IOPS, 1.100 K IOPS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5">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Έως 850 K IOPS, 1.200 K IOPS</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widowControl w:val="1"/>
              <w:spacing w:after="0" w:line="240" w:lineRule="auto"/>
              <w:jc w:val="center"/>
              <w:rPr>
                <w:rFonts w:ascii="Arial" w:cs="Arial" w:eastAsia="Arial" w:hAnsi="Arial"/>
                <w:color w:val="000000"/>
              </w:rPr>
            </w:pPr>
            <w:r w:rsidDel="00000000" w:rsidR="00000000" w:rsidRPr="00000000">
              <w:rPr>
                <w:rFonts w:ascii="Malgun Gothic" w:cs="Malgun Gothic" w:eastAsia="Malgun Gothic" w:hAnsi="Malgun Gothic"/>
                <w:color w:val="000000"/>
                <w:sz w:val="22"/>
                <w:szCs w:val="22"/>
                <w:rtl w:val="0"/>
              </w:rPr>
              <w:t xml:space="preserve">Λογισμικό διαχείρισης</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7">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Samsung Magician Software</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widowControl w:val="1"/>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Κρυπτογράφηση δεδομένων</w:t>
            </w:r>
          </w:p>
          <w:p w:rsidR="00000000" w:rsidDel="00000000" w:rsidP="00000000" w:rsidRDefault="00000000" w:rsidRPr="00000000" w14:paraId="0000002A">
            <w:pPr>
              <w:widowControl w:val="1"/>
              <w:spacing w:after="0" w:line="240" w:lineRule="auto"/>
              <w:jc w:val="center"/>
              <w:rPr>
                <w:rFonts w:ascii="Arial" w:cs="Arial" w:eastAsia="Arial" w:hAnsi="Arial"/>
                <w:color w:val="00000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B">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Πλήρης κρυπτογράφηση δίσκου AES 256 bit, TCG/Opal V2.0, Κρυπτογραφημένος δίσκος (IEEE1667)-</w:t>
            </w:r>
          </w:p>
        </w:tc>
      </w:tr>
      <w:tr>
        <w:trPr>
          <w:cantSplit w:val="0"/>
          <w:trHeight w:val="7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widowControl w:val="1"/>
              <w:jc w:val="center"/>
              <w:rPr>
                <w:rFonts w:ascii="Malgun Gothic" w:cs="Malgun Gothic" w:eastAsia="Malgun Gothic" w:hAnsi="Malgun Gothic"/>
                <w:color w:val="000000"/>
                <w:sz w:val="22"/>
                <w:szCs w:val="22"/>
              </w:rPr>
            </w:pPr>
            <w:r w:rsidDel="00000000" w:rsidR="00000000" w:rsidRPr="00000000">
              <w:rPr>
                <w:rFonts w:ascii="Malgun Gothic" w:cs="Malgun Gothic" w:eastAsia="Malgun Gothic" w:hAnsi="Malgun Gothic"/>
                <w:color w:val="000000"/>
                <w:sz w:val="22"/>
                <w:szCs w:val="22"/>
                <w:rtl w:val="0"/>
              </w:rPr>
              <w:t xml:space="preserve">Συνολικά byte εγγραφής</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E">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400 TB</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2F">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800 TB</w:t>
            </w:r>
          </w:p>
        </w:tc>
      </w:tr>
      <w:tr>
        <w:trPr>
          <w:cantSplit w:val="0"/>
          <w:trHeight w:val="725" w:hRule="atLeast"/>
          <w:tblHeader w:val="0"/>
        </w:trPr>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Εγγύηση</w:t>
            </w:r>
          </w:p>
        </w:tc>
        <w:tc>
          <w:tcPr>
            <w:gridSpan w:val="2"/>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31">
            <w:pPr>
              <w:widowControl w:val="1"/>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Περιορισμένη εγγύηση τριών ετών</w:t>
            </w:r>
            <w:r w:rsidDel="00000000" w:rsidR="00000000" w:rsidRPr="00000000">
              <w:rPr>
                <w:rFonts w:ascii="Arial" w:cs="Arial" w:eastAsia="Arial" w:hAnsi="Arial"/>
                <w:color w:val="000000"/>
                <w:vertAlign w:val="superscript"/>
              </w:rPr>
              <w:footnoteReference w:customMarkFollows="0" w:id="5"/>
            </w:r>
            <w:r w:rsidDel="00000000" w:rsidR="00000000" w:rsidRPr="00000000">
              <w:rPr>
                <w:rtl w:val="0"/>
              </w:rPr>
            </w:r>
          </w:p>
        </w:tc>
      </w:tr>
    </w:tb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80" w:line="360" w:lineRule="auto"/>
        <w:ind w:left="0" w:right="0" w:firstLine="0"/>
        <w:jc w:val="left"/>
        <w:rPr>
          <w:rFonts w:ascii="Gulim" w:cs="Gulim" w:eastAsia="Gulim" w:hAnsi="Gulim"/>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10" w:type="default"/>
      <w:pgSz w:h="16838" w:w="11906" w:orient="portrait"/>
      <w:pgMar w:bottom="1440" w:top="1701" w:left="1440" w:right="1440"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algun Gothic"/>
  <w:font w:name="Georgia"/>
  <w:font w:name="Arial"/>
  <w:font w:name="Gulim"/>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spacing w:after="0" w:line="276" w:lineRule="auto"/>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Με βάση το μέσο μέγεθος ενός παιχνιδιού στα 64,3 GB, το οποίο υπολογίστηκε με βάση τους 12 κορυφαίους τίτλους νέας κυκλοφορίας από τη λίστα «Best of 2025: New Releases»</w:t>
      </w:r>
      <w:r w:rsidDel="00000000" w:rsidR="00000000" w:rsidRPr="00000000">
        <w:rPr>
          <w:rFonts w:ascii="Malgun Gothic" w:cs="Malgun Gothic" w:eastAsia="Malgun Gothic" w:hAnsi="Malgun Gothic"/>
          <w:b w:val="0"/>
          <w:bCs w:val="0"/>
          <w:i w:val="0"/>
          <w:iCs w:val="0"/>
          <w:smallCaps w:val="0"/>
          <w:strike w:val="0"/>
          <w:color w:val="000000"/>
          <w:sz w:val="14"/>
          <w:szCs w:val="14"/>
          <w:u w:val="none"/>
          <w:shd w:fill="auto" w:val="clear"/>
          <w:vertAlign w:val="baseline"/>
          <w:rtl w:val="0"/>
        </w:rPr>
        <w:t xml:space="preserve"> του Steam.</w:t>
        <w:br w:type="textWrapping"/>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https://store.steampowered.com/charts/bestofyear/2025</w:t>
      </w:r>
    </w:p>
  </w:footnote>
  <w:footnote w:id="1">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Ταχύτητα σειριακής ανάγνωσης/εγγραφής του SSD 990 1.686/1.697 MB/s ανά Watt, ταχύτητα σειριακής ανάγνωσης/εγγραφής του 990 PRO 1.221/1.255 MB/s ανά Watt, με βάση τα αποτελέσματα εσωτερικών δοκιμών για το μοντέλο χωρητικότητας 2 TB.</w:t>
      </w:r>
    </w:p>
  </w:footnote>
  <w:footnote w:id="2">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Το σήμα σχεδιασμού NVM Express® αποτελεί εμπορικό σήμα κατατεθέν της NVM Express, Inc..</w:t>
      </w:r>
    </w:p>
  </w:footnote>
  <w:footnote w:id="3">
    <w:p w:rsidR="00000000" w:rsidDel="00000000" w:rsidP="00000000" w:rsidRDefault="00000000" w:rsidRPr="00000000" w14:paraId="00000037">
      <w:pPr>
        <w:spacing w:after="0" w:line="240" w:lineRule="auto"/>
        <w:jc w:val="left"/>
        <w:rPr>
          <w:i w:val="1"/>
          <w:iCs w:val="1"/>
          <w:sz w:val="14"/>
          <w:szCs w:val="14"/>
        </w:rPr>
      </w:pPr>
      <w:r w:rsidDel="00000000" w:rsidR="00000000" w:rsidRPr="00000000">
        <w:rPr>
          <w:rStyle w:val="FootnoteReference"/>
          <w:vertAlign w:val="superscript"/>
        </w:rPr>
        <w:footnoteRef/>
      </w:r>
      <w:r w:rsidDel="00000000" w:rsidR="00000000" w:rsidRPr="00000000">
        <w:rPr>
          <w:vertAlign w:val="superscript"/>
          <w:rtl w:val="0"/>
        </w:rPr>
        <w:t xml:space="preserve"> </w:t>
      </w:r>
      <w:r w:rsidDel="00000000" w:rsidR="00000000" w:rsidRPr="00000000">
        <w:rPr>
          <w:i w:val="1"/>
          <w:iCs w:val="1"/>
          <w:sz w:val="14"/>
          <w:szCs w:val="14"/>
          <w:rtl w:val="0"/>
        </w:rPr>
        <w:t xml:space="preserve">1 GB = 1.000.000.000 byte από την IDEMA. Ένα μέρος της χωρητικότητας ενδέχεται να χρησιμοποιείται για αρχεία συστήματος και για σκοπούς συντήρησης, επομένως η πραγματική διαθέσιμη χωρητικότητα ενδέχεται να διαφέρει από την αναγραφόμενη.</w:t>
      </w:r>
    </w:p>
  </w:footnote>
  <w:footnote w:id="4">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Οι επιδ</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σει</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σε διαδοχικ</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και τυχα</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α αν</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ά</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γνωση βασ</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ζονται στο 1Ometer1.1.0. Οι επιδ</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σει</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ενδ</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χεται να διαφ</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ρουν αν</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ά</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λογα με την </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κδοση του υλικολογισμικο</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ύ</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του SSD, το υλικ</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του συστ</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ματο</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και τι</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ρυθμ</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σει</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του. Σ</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ύ</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στημα δοκιμ</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AMD Ryzen 9 7650X 16-Core Processor </w:t>
      </w:r>
      <w:hyperlink r:id="rId1">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CPU 4,50 GHz</w:t>
        </w:r>
      </w:hyperlink>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DDR5 4800 MHz (16GBx2), OS-Windows 11 Pro 64 bit, Chipset-ASRock-X670E-Taichi. Η απ</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δοση διαδοχικ</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και τυχα</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α</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εγγραφ</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μετρ</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θηκε με ενεργοποιημ</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νη την τεχνολογ</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α Intelligent TurboWrite. Η τεχνολογ</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α Intelligent TurboWrite λειτουργε</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μ</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νο εντ</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συγκεκριμ</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νου μεγ</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θου</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μεταφορ</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άς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δεδομ</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νων. Για λεπτομερε</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πληροφορ</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ε</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επικοινων</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στε με το τοπικ</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κ</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ντρο σ</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ρβι</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w:t>
      </w:r>
    </w:p>
  </w:footnote>
  <w:footnote w:id="5">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algun Gothic" w:cs="Malgun Gothic" w:eastAsia="Malgun Gothic" w:hAnsi="Malgun Gothic"/>
          <w:b w:val="0"/>
          <w:bCs w:val="0"/>
          <w:i w:val="1"/>
          <w:iCs w:val="1"/>
          <w:smallCaps w:val="0"/>
          <w:strike w:val="0"/>
          <w:color w:val="000000"/>
          <w:sz w:val="14"/>
          <w:szCs w:val="14"/>
          <w:u w:val="none"/>
          <w:shd w:fill="auto" w:val="clear"/>
          <w:vertAlign w:val="baseline"/>
        </w:rPr>
      </w:pPr>
      <w:r w:rsidDel="00000000" w:rsidR="00000000" w:rsidRPr="00000000">
        <w:rPr>
          <w:rStyle w:val="FootnoteReference"/>
          <w:vertAlign w:val="superscript"/>
        </w:rPr>
        <w:footnoteRef/>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Η Samsung Electronics δεν φ</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ρει καμ</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α ευθ</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ύ</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νη για οποιαδ</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ποτε ζημ</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α, συμπεριλαμβανομ</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νη</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ενδεικτικ</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ά</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τη</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απ</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ώ</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λεια</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δεδομ</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νων </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ά</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λλων πληροφορι</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ώ</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ν που περι</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χονται στα προ</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ϊό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ντα τη</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Samsung </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τη</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απ</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ώ</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λεια</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κερδ</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ώ</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ν </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εσ</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δων που ενδ</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χεται να υποστε</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ο χρ</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στη</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Η εγγ</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ύ</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ηση παρ</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χει κ</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ά</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λυψη για το αναφερ</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μενο χρονικ</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δι</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ά</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στημα </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μ</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χρι το TBW (Συνολικ</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ά</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byte εγγραφ</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ποιο απ</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ό</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τα δ</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ύ</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ο συμβε</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ί</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πρ</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ώ</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το. Ανατρ</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έ</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ξτε στην αναλυτικ</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δ</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ή</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λωση εγγ</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ύ</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ηση</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ς</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 στη διε</w:t>
      </w:r>
      <w:r w:rsidDel="00000000" w:rsidR="00000000" w:rsidRPr="00000000">
        <w:rPr>
          <w:rFonts w:ascii="Calibri" w:cs="Calibri" w:eastAsia="Calibri" w:hAnsi="Calibri"/>
          <w:b w:val="0"/>
          <w:bCs w:val="0"/>
          <w:i w:val="1"/>
          <w:iCs w:val="1"/>
          <w:smallCaps w:val="0"/>
          <w:strike w:val="0"/>
          <w:color w:val="000000"/>
          <w:sz w:val="14"/>
          <w:szCs w:val="14"/>
          <w:u w:val="none"/>
          <w:shd w:fill="auto" w:val="clear"/>
          <w:vertAlign w:val="baseline"/>
          <w:rtl w:val="0"/>
        </w:rPr>
        <w:t xml:space="preserve">ύ</w:t>
      </w:r>
      <w:r w:rsidDel="00000000" w:rsidR="00000000" w:rsidRPr="00000000">
        <w:rPr>
          <w:rFonts w:ascii="Malgun Gothic" w:cs="Malgun Gothic" w:eastAsia="Malgun Gothic" w:hAnsi="Malgun Gothic"/>
          <w:b w:val="0"/>
          <w:bCs w:val="0"/>
          <w:i w:val="1"/>
          <w:iCs w:val="1"/>
          <w:smallCaps w:val="0"/>
          <w:strike w:val="0"/>
          <w:color w:val="000000"/>
          <w:sz w:val="14"/>
          <w:szCs w:val="14"/>
          <w:u w:val="none"/>
          <w:shd w:fill="auto" w:val="clear"/>
          <w:vertAlign w:val="baseline"/>
          <w:rtl w:val="0"/>
        </w:rPr>
        <w:t xml:space="preserve">θυνση http://www.samsung.com/samsungssd</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algun Gothic" w:cs="Malgun Gothic" w:eastAsia="Malgun Gothic" w:hAnsi="Malgun Gothic"/>
        <w:lang w:val="el"/>
      </w:rPr>
    </w:rPrDefault>
    <w:pPrDefault>
      <w:pPr>
        <w:widowControl w:val="0"/>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mailto:CPU@4.50GH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PUqosmXX/is9P3QkAH8OPESw==">CgMxLjA4AHIhMW5CbGE5RzZQODRJaHh0SEZ4aDAwLVVZTEEwbDR2Z1Zi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D7DEB29188C48BD3CC139FFD574C30B2E0F04392C612D786E6921BC9FE9991D46818796EB07D17FE1C1A89E034F00521D1C8A346EBD385D461EE6932FF65A226</vt:lpwstr>
  </property>
</Properties>
</file>