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-5108</wp:posOffset>
                </wp:positionV>
                <wp:extent cx="6082574" cy="696513"/>
                <wp:effectExtent b="0" l="0" r="0" t="0"/>
                <wp:wrapNone/>
                <wp:docPr id="1" name=""/>
                <a:graphic>
                  <a:graphicData uri="http://schemas.microsoft.com/office/word/2010/wordprocessingShape">
                    <wps:wsp>
                      <wps:cNvSpPr/>
                      <wps:cNvPr id="2" name="Shape 2"/>
                      <wps:spPr>
                        <a:xfrm>
                          <a:off x="2311063" y="3438094"/>
                          <a:ext cx="6069874" cy="683813"/>
                        </a:xfrm>
                        <a:prstGeom prst="rect">
                          <a:avLst/>
                        </a:prstGeom>
                        <a:noFill/>
                        <a:ln cap="flat" cmpd="sng" w="127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ff0000"/>
                                <w:sz w:val="22"/>
                                <w:u w:val="single"/>
                                <w:vertAlign w:val="baseline"/>
                              </w:rPr>
                              <w:t xml:space="preserve">Smernice za predstavnike službe za odnose sa javnošću kompanije Samsung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22"/>
                                <w:u w:val="single"/>
                                <w:vertAlign w:val="baseline"/>
                              </w:rPr>
                            </w:r>
                            <w:r w:rsidDel="00000000" w:rsidR="00000000" w:rsidRPr="00000000">
                              <w:rPr>
                                <w:rFonts w:ascii="Arial" w:cs="Arial" w:eastAsia="Arial" w:hAnsi="Arial"/>
                                <w:b w:val="0"/>
                                <w:i w:val="0"/>
                                <w:smallCaps w:val="0"/>
                                <w:strike w:val="0"/>
                                <w:color w:val="ff0000"/>
                                <w:sz w:val="16"/>
                                <w:vertAlign w:val="baseline"/>
                              </w:rPr>
                              <w:t xml:space="preserve">Predstavite priču odabranim tehnološkim medijima na osnovu navedenog u nastavku. Napominjemo da nećemo objavljivati saopštenje za medije putem novinskih servisa niti putem redakcije. Važi zabrana pristupa tekstu do ▲14. jula u 9.00 PDT ▲14. jula u 18.00 CET ▲15. jula u 1.00 KST.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-5108</wp:posOffset>
                </wp:positionV>
                <wp:extent cx="6082574" cy="696513"/>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82574" cy="696513"/>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drawing>
          <wp:inline distB="0" distT="0" distL="0" distR="0">
            <wp:extent cx="1381916" cy="214197"/>
            <wp:effectExtent b="0" l="0" r="0" t="0"/>
            <wp:docPr descr="Plavo slovo na crnoj pozadini&#10;&#10;Opis se automatski generiše" id="2" name="image1.png"/>
            <a:graphic>
              <a:graphicData uri="http://schemas.openxmlformats.org/drawingml/2006/picture">
                <pic:pic>
                  <pic:nvPicPr>
                    <pic:cNvPr descr="Plavo slovo na crnoj pozadini&#10;&#10;Opis se automatski generiše" id="0" name="image1.png"/>
                    <pic:cNvPicPr preferRelativeResize="0"/>
                  </pic:nvPicPr>
                  <pic:blipFill>
                    <a:blip r:embed="rId9"/>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Samsung predstavlja novi 990 SSD sa snažnim performansama i poboljšanom energetskom efikasnošću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Samsung 990 SSD pruža snažne performanse sa sekvencijalnom brzinom čitanja do 7.250 MB/s i za 38% poboljšanom energetskom efikasnošću u odnosu na svog prethodnika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Opcije od 1 TB i 2 TB proširuju mogućnosti nadogradnje računara za potrošače, od svakodnevne upotrebe do igranja i kreiranja sadržaja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Kompanija Samsung Electronics danas je objavila lansiranje novog SSD diska 990, dostupnog u kapacitetima od 1 TB i 2 TB. Pružajući izuzetne sekvencijalne performanse i poboljšanu energetsku efikasnost, Samsung 990 SSD osmišljen je kao uravnoteženo rešenje za skladištenje podataka optimizovano za igre, kreativne radne zadatke i svakodnevnu upotrebu računara.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„Samsungov novi 990 SSD je odlično rešenje za širok spektar korisnika koji žele da prošire skladišni prostor za zahtevne radne zadatke, napredne igre, kreiranje sadržaja visoke rezolucije i samosalno sastavljanje računarskih konfiguracija, izjavio je Tomi (Hjongsuk) Kvon, potpredsednik tima za memorijske proizvode u kompaniji Samsung Electronics.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Zahvaljujući podršci za PCIe 4.0 i najnovijim NAND tehnologijama, model Samsung 990 SSD od 2 TB pruža sekvencijalnu brzinu čitanja do 7.250 MB/s, dok model od 1 TB dostiže do 7.150 MB/s. Oba modela pružaju sekvencijalne brzine pisanja do 6.450 MB/s, omogućavajući brz prenos datoteka i smanjeno vreme učitavanja.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 nasumične performanse, model od 2 TB isporučuje do 850.000 IOPS pri čitanju i 1.200.000 IOPS pri pisanju, dok model od 1 TB dostiže brzine čitanja i pisanja do 700.000 i 1.100.000 IOPS. Ove karakteristike korisnicima omogućavaju brže pokretanje aplikacija, brži odziv u igri i efikasno rukovanje velikim radnim zadacima.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Prošireni kapacitet skladištenja takođe omogućava korisnicima da skladište velike količine visokokvalitetnog sadržaja i najnovijih igara AAA kvaliteta. Model od 2 TB može da skladišti do 30 velikih igara na osnovu prosečne veličine od 64 GB</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što ga čini idealnim rešenjem za igrače i kreatore koji upravljaju sve većim datotekama i aplikacijama.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990 SSD takođe ima značajna poboljšanja u pogledu energetske efikasnosti. U poređenju sa prethodnim modelom 990 PRO, energetska efikasnost je poboljšana za do 38%</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što korisnicima omogućava da postignu visoke performanse uz manju potrošnju energije.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Softver Samsung Magician pomaže u održavanju optimalnih performansi SSD diskova, uključujući i Samsung 990. Podržava besprekornu migraciju podataka i praćenje ispravnosti diskova, omogućavajući korisnicima prilagođenu optimizaciju performansi i snažnu zaštitu podataka.</w:t>
      </w:r>
    </w:p>
    <w:tbl>
      <w:tblPr>
        <w:tblStyle w:val="Table1"/>
        <w:tblpPr w:leftFromText="142" w:rightFromText="142" w:topFromText="0" w:bottomFromText="0" w:vertAnchor="text" w:horzAnchor="text" w:tblpX="0" w:tblpY="824"/>
        <w:tblW w:w="9115.0" w:type="dxa"/>
        <w:jc w:val="left"/>
        <w:tblLayout w:type="fixed"/>
        <w:tblLook w:val="0400"/>
      </w:tblPr>
      <w:tblGrid>
        <w:gridCol w:w="1688"/>
        <w:gridCol w:w="3713"/>
        <w:gridCol w:w="3714"/>
        <w:tblGridChange w:id="0">
          <w:tblGrid>
            <w:gridCol w:w="1688"/>
            <w:gridCol w:w="3713"/>
            <w:gridCol w:w="3714"/>
          </w:tblGrid>
        </w:tblGridChange>
      </w:tblGrid>
      <w:tr>
        <w:trPr>
          <w:cantSplit w:val="0"/>
          <w:trHeight w:val="732"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Samsung 990 SSD </w:t>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Interfejs</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PCIe® 4.0 x4 NVMe™ 2.0</w:t>
            </w:r>
            <w:r w:rsidDel="00000000" w:rsidR="00000000" w:rsidRPr="00000000">
              <w:rPr>
                <w:rFonts w:ascii="Arial" w:cs="Arial" w:eastAsia="Arial" w:hAnsi="Arial"/>
                <w:color w:val="000000"/>
                <w:vertAlign w:val="superscript"/>
              </w:rPr>
              <w:footnoteReference w:customMarkFollows="0" w:id="2"/>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Form faktor</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M.2 (2280)</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Memorija za skladištenje</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Samsung V-NAND</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Kontroler</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Kontroler koji je razvio Samsung</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Kapacitet</w:t>
            </w:r>
            <w:r w:rsidDel="00000000" w:rsidR="00000000" w:rsidRPr="00000000">
              <w:rPr>
                <w:rFonts w:ascii="Arial" w:cs="Arial" w:eastAsia="Arial" w:hAnsi="Arial"/>
                <w:color w:val="000000"/>
                <w:vertAlign w:val="superscript"/>
              </w:rPr>
              <w:footnoteReference w:customMarkFollows="0" w:id="3"/>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 TB</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Brzina sekvencijalnog čitanja/pisanja</w:t>
            </w:r>
            <w:r w:rsidDel="00000000" w:rsidR="00000000" w:rsidRPr="00000000">
              <w:rPr>
                <w:rFonts w:ascii="Malgun Gothic" w:cs="Malgun Gothic" w:eastAsia="Malgun Gothic" w:hAnsi="Malgun Gothic"/>
                <w:color w:val="000000"/>
                <w:sz w:val="22"/>
                <w:szCs w:val="22"/>
                <w:vertAlign w:val="superscript"/>
              </w:rPr>
              <w:footnoteReference w:customMarkFollows="0" w:id="4"/>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7.150 MB/s, 6.450 MB/s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7.250 MB/s, 6.450 MB/s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1"/>
              <w:spacing w:after="0" w:line="240" w:lineRule="auto"/>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Nasumična brzina čitanja/pisanja (QD32)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4">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700.000 IOPS, 1.100.000 IOPS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850.000 IOPS, 1.200.000 IOPS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Softver za upravljanje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Samsung Magician</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Šifrovanje podataka</w:t>
            </w:r>
          </w:p>
          <w:p w:rsidR="00000000" w:rsidDel="00000000" w:rsidP="00000000" w:rsidRDefault="00000000" w:rsidRPr="00000000" w14:paraId="0000002A">
            <w:pPr>
              <w:widowControl w:val="1"/>
              <w:spacing w:after="0" w:line="240" w:lineRule="auto"/>
              <w:jc w:val="center"/>
              <w:rPr>
                <w:rFonts w:ascii="Arial" w:cs="Arial" w:eastAsia="Arial" w:hAnsi="Arial"/>
                <w:color w:val="00000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AES 256-bitno potpuno šifrovanje diska, TCG/Opal V2.0, šifrovani disk (IEEE1667)</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Ukupan broj zapisanih bajtova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400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800 TB</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Garancija</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Trogodišnja ograničena garancija</w:t>
            </w:r>
            <w:r w:rsidDel="00000000" w:rsidR="00000000" w:rsidRPr="00000000">
              <w:rPr>
                <w:rFonts w:ascii="Arial" w:cs="Arial" w:eastAsia="Arial" w:hAnsi="Arial"/>
                <w:color w:val="000000"/>
                <w:vertAlign w:val="superscript"/>
              </w:rPr>
              <w:footnoteReference w:customMarkFollows="0" w:id="5"/>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60" w:lineRule="auto"/>
        <w:ind w:left="0" w:right="0" w:firstLine="0"/>
        <w:jc w:val="left"/>
        <w:rPr>
          <w:rFonts w:ascii="Gulim" w:cs="Gulim" w:eastAsia="Gulim" w:hAnsi="Gulim"/>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0"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after="0" w:line="276" w:lineRule="auto"/>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Na osnovu prosečne veličine igre od 64,3 GB – izračunato korišćenjem 12 najboljih igara sa liste platforme Steam „Najbolje iz 2025. godine: Nova izdanja”</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br w:type="textWrapping"/>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https://store.steampowered.com/charts/bestofyear/2025</w:t>
      </w:r>
    </w:p>
  </w:footnote>
  <w:footnote w:id="1">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SSD 990: sekvencijalno čitanje/pisanje sa performansama od 1.686/1.697 MB/s po vatu, 990 PRO: sekvencijalno čitanje/pisanje sa performansama od 1.221/1.255 MB/s po vatu na osnovu rezultata internog testa modela kapaciteta 2 TB.</w:t>
      </w:r>
    </w:p>
  </w:footnote>
  <w:footnote w:id="2">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Dizajnerska oznaka NVM Express® je registrovani zaštitni znak kompanije NVM Express, Inc.</w:t>
      </w:r>
    </w:p>
  </w:footnote>
  <w:footnote w:id="3">
    <w:p w:rsidR="00000000" w:rsidDel="00000000" w:rsidP="00000000" w:rsidRDefault="00000000" w:rsidRPr="00000000" w14:paraId="00000037">
      <w:pPr>
        <w:spacing w:after="0" w:line="240" w:lineRule="auto"/>
        <w:jc w:val="left"/>
        <w:rPr>
          <w:i w:val="1"/>
          <w:iCs w:val="1"/>
          <w:sz w:val="14"/>
          <w:szCs w:val="14"/>
        </w:rPr>
      </w:pPr>
      <w:r w:rsidDel="00000000" w:rsidR="00000000" w:rsidRPr="00000000">
        <w:rPr>
          <w:rStyle w:val="FootnoteReference"/>
          <w:vertAlign w:val="superscript"/>
        </w:rPr>
        <w:footnoteRef/>
      </w:r>
      <w:r w:rsidDel="00000000" w:rsidR="00000000" w:rsidRPr="00000000">
        <w:rPr>
          <w:vertAlign w:val="superscript"/>
          <w:rtl w:val="0"/>
        </w:rPr>
        <w:t xml:space="preserve"> </w:t>
      </w:r>
      <w:r w:rsidDel="00000000" w:rsidR="00000000" w:rsidRPr="00000000">
        <w:rPr>
          <w:i w:val="1"/>
          <w:iCs w:val="1"/>
          <w:sz w:val="14"/>
          <w:szCs w:val="14"/>
          <w:rtl w:val="0"/>
        </w:rPr>
        <w:t xml:space="preserve">1 GB = 1.000.000.000 bajtova u skladu sa standardom IDEMA. Određeni deo kapaciteta može se koristiti za sistemske datoteke i održavanje, tako da se stvarni raspoloživi kapacitet može razlikovati od naznačenog kapaciteta.</w:t>
      </w:r>
    </w:p>
  </w:footnote>
  <w:footnote w:id="4">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superscript"/>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Sekvencijalne i nasumične performanse su zasnovane na referentnoj vrednosti alata Iometer 1.1.0. Performanse mogu da variraju u zavisnosti od verzije firmvera, sistemskog hardvera i konfiguracija SSD diska. Sistem za testiranje: Procesor AMD Ryzen 9 7650X sa 16 jezgara </w:t>
      </w:r>
      <w:hyperlink r:id="rId1">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CPU@4.50GHz</w:t>
        </w:r>
      </w:hyperlink>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 DDR5 4800 MHz (16 GB x 2), OS Windows 11 Pro 64bit, Chipset-ASRock-X670E-Taichi. Performanse sekvencijalnog i nasumičnog pisanja merene su uz aktiviranu tehnologiju Intelligent TurboWrite. Intelligent TurboWrite funkcioniše samo u okviru određene veličine prenosa podataka. Za detaljnije informacije, obratite se lokalnom servisnom centru</w:t>
      </w:r>
    </w:p>
  </w:footnote>
  <w:footnote w:id="5">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superscript"/>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Kompanija Samsung Electronics ne snosi odgovornost za bilo kakav gubitak, uključujući, ali ne ograničavajući se na gubitak podataka ili drugih informacija sadržanih na Samsung proizvodima ili gubitak profita ili prihoda koji korisnik može pretrpeti. Garancija pokriva navedeni vremenski period ili ukupan broj zapisanih bajtova (TBW), šta god prvo nastupi. Detaljnu izjavu o garanciji pogledajte na http://www.samsung.com/samsungssd</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n"/>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CPU@4.50GH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xhcpA6bYtnQ7eRCDKL2Gjp7FA==">CgMxLjA4AHIhMTB2VEE1WnJFMmZKcVNSbXJxT2tvOHFkTmtMYVdvTGtL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D7DEB29188C48BD3CC139FFD574C30B2E0F04392C612D786E6921BC9FE9991D46818796EB07D17FE1C1A89E034F00521D1C8A346EBD385D461EE6932FF65A226</vt:lpwstr>
  </property>
</Properties>
</file>