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-5108</wp:posOffset>
                </wp:positionV>
                <wp:extent cx="6082574" cy="640853"/>
                <wp:effectExtent b="0" l="0" r="0" t="0"/>
                <wp:wrapNone/>
                <wp:docPr id="1" name=""/>
                <a:graphic>
                  <a:graphicData uri="http://schemas.microsoft.com/office/word/2010/wordprocessingShape">
                    <wps:wsp>
                      <wps:cNvSpPr/>
                      <wps:cNvPr id="2" name="Shape 2"/>
                      <wps:spPr>
                        <a:xfrm>
                          <a:off x="2311063" y="3465924"/>
                          <a:ext cx="6069874" cy="628153"/>
                        </a:xfrm>
                        <a:prstGeom prst="rect">
                          <a:avLst/>
                        </a:prstGeom>
                        <a:noFill/>
                        <a:ln cap="flat" cmpd="sng" w="127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t xml:space="preserve">Napotki Samsungovim predstavnikom za odnose z javnostmi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r>
                            <w:r w:rsidDel="00000000" w:rsidR="00000000" w:rsidRPr="00000000">
                              <w:rPr>
                                <w:rFonts w:ascii="Arial" w:cs="Arial" w:eastAsia="Arial" w:hAnsi="Arial"/>
                                <w:b w:val="0"/>
                                <w:i w:val="0"/>
                                <w:smallCaps w:val="0"/>
                                <w:strike w:val="0"/>
                                <w:color w:val="ff0000"/>
                                <w:sz w:val="16"/>
                                <w:vertAlign w:val="baseline"/>
                              </w:rPr>
                              <w:t xml:space="preserve">Prosimo, da spodaj navedeno posredujete izbranim medijem s tehnološko vsebino. Upoštevajte, da ne načrtujemo izdaje sporočila za medije ali objave v Newsroomu. Prepoved velja do ▲14. julija 9.00 PDT, ▲14. julija 18.00 CET, ▲15 julija 1.00 KST.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-5108</wp:posOffset>
                </wp:positionV>
                <wp:extent cx="6082574" cy="640853"/>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82574" cy="640853"/>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Modra črka na črnem ozadju&#10;&#10;Opis samodejno ustvarjen" id="2" name="image1.png"/>
            <a:graphic>
              <a:graphicData uri="http://schemas.openxmlformats.org/drawingml/2006/picture">
                <pic:pic>
                  <pic:nvPicPr>
                    <pic:cNvPr descr="Modra črka na črnem ozadju&#10;&#10;Opis samodejno ustvarjen" id="0" name="image1.png"/>
                    <pic:cNvPicPr preferRelativeResize="0"/>
                  </pic:nvPicPr>
                  <pic:blipFill>
                    <a:blip r:embed="rId9"/>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Samsung predstavlja novi SSD 990 z višjo zmogljivostjo in izboljšano energetsko učinkovitostjo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Samsung SSD 990 prinaša robustno zmogljivost s hitrostjo zaporednega branja vse do 7.250 MB/s ter izboljšano energetsko učinkovitost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ki je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v primerjavi s predhodnikom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iz</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boljšana za 38 %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Različici 1 in 2 TB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ponujata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raznovrstne možnosti nadgradnj</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računalnika, ki pokrivajo vse od vsakodnevne rabe do igranja iger in ustvarjanja vsebin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Electronics je danes napovedal predstavitev svojega novega diska SSD 990, ki bo na voljo s kapaciteto 1 in 2 terabajtov (TB). Samsung SSD 990 s svojo z izjemno zaporedno zmogljivostjo in izboljšano energetsko učinkovitostjo predstavlja uravnoteženo rešitev za shranjevanje, optimizirano za igranje iger, ustvarjalna opravila in vsakodnevno uporabo računalnika.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»Novi Samsung 990 SSD je izvrstna rešitev za širok krog uporabnikov, ki želijo razširiti svojo shrambo za zahtevne delovne obremenitve, igranje, ustvarjanje visokokakovostnih vsebin in lastno sestavljanje računalnikov,« je povedal Tommy (Hyoungsuk) Kwon, podpredsednik ekipe Memory Brand Product Biz Team pri Samsung Electronics.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SSD 990 v različici 2 TB s podporo vmesnika PCIe 4.0 in najnovejšimi tehnologijami NAND zagotavlja hitrost zaporednega branja do 7.250 MB/s, model 1 TB pa do 7.150 MB/s. Oba modela zagotavljata hitrosti zaporednega zapisovanja do 6.450 MB/s, kar pohitri prenose datotek in skrajša čas nalaganja.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Model s kapaciteto 2 TB pri naključni zmogljivosti dosega do 850.000 branih in 1.200.000 pisalnih IOPS, medtem ko model z 1 TB dosega hitrosti branja in pisanja do 700.000 oziroma 1.100.000 IOPS. Te zmogljivosti uporabnikom omogočajo hitrejše zaganjanje aplikacij, odzivno igranje in učinkovito obvladovanje obsežnih obremenitev.</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Povečana kapaciteta shranjevanja uporabnikom dovoljuje tudi shranjevanje velikih količin kakovostnih vsebin in najnovejših iger AAA. Model s kapaciteto 2 TB lahko shrani do 30 obsežnih iger s povprečno velikostjo 64 GB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zato je popolna rešitev za igričarje in ustvarjalce, ki delajo z vse večjimi datotekami in aplikacijami.</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Samsung SSD 990 prinaša tudi pomembne izboljšave na področju energetske učinkovitosti. V primerjavi s prejšnjim modelom 990 PRO je energetska učinkovitost višja za 38 %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 čimer uporabniki dosegajo boljšo zmogljivost ob nižji porabi energije.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Programska oprema Samsung Magician Software skrbi za optimalno delovanje diskov SSD, vključno s Samsung 990. Podpira brezhiben prenos podatkov in spremljanje stanja pogona, kar uporabnikom zagotovi prilagojeno optimizacijo zmogljivosti in zanesljivo zaščito podatkov.</w:t>
      </w:r>
    </w:p>
    <w:tbl>
      <w:tblPr>
        <w:tblStyle w:val="Table1"/>
        <w:tblpPr w:leftFromText="142" w:rightFromText="142" w:topFromText="0" w:bottomFromText="0" w:vertAnchor="text" w:horzAnchor="text" w:tblpX="0" w:tblpY="824"/>
        <w:tblW w:w="9101.0" w:type="dxa"/>
        <w:jc w:val="left"/>
        <w:tblLayout w:type="fixed"/>
        <w:tblLook w:val="0400"/>
      </w:tblPr>
      <w:tblGrid>
        <w:gridCol w:w="1674"/>
        <w:gridCol w:w="3713"/>
        <w:gridCol w:w="3714"/>
        <w:tblGridChange w:id="0">
          <w:tblGrid>
            <w:gridCol w:w="1674"/>
            <w:gridCol w:w="3713"/>
            <w:gridCol w:w="3714"/>
          </w:tblGrid>
        </w:tblGridChange>
      </w:tblGrid>
      <w:tr>
        <w:trPr>
          <w:cantSplit w:val="0"/>
          <w:trHeight w:val="73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Samsung 990 SSD </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Vmesnik</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PCIe® 4.0 x4 NVMe™ 2.0</w:t>
            </w:r>
            <w:r w:rsidDel="00000000" w:rsidR="00000000" w:rsidRPr="00000000">
              <w:rPr>
                <w:rFonts w:ascii="Arial" w:cs="Arial" w:eastAsia="Arial" w:hAnsi="Arial"/>
                <w:color w:val="000000"/>
                <w:vertAlign w:val="superscript"/>
              </w:rPr>
              <w:footnoteReference w:customMarkFollows="0" w:id="2"/>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Faktor oblike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M.2 (2280)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Pomnilnik</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V-NAND</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Krmilnik</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Notranji krmilnik podjetja Samsung</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Kapaciteta</w:t>
            </w:r>
            <w:r w:rsidDel="00000000" w:rsidR="00000000" w:rsidRPr="00000000">
              <w:rPr>
                <w:rFonts w:ascii="Arial" w:cs="Arial" w:eastAsia="Arial" w:hAnsi="Arial"/>
                <w:color w:val="000000"/>
                <w:vertAlign w:val="superscript"/>
              </w:rPr>
              <w:footnoteReference w:customMarkFollows="0" w:id="3"/>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 TB</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Hitrost branja/pisanja</w:t>
            </w:r>
            <w:r w:rsidDel="00000000" w:rsidR="00000000" w:rsidRPr="00000000">
              <w:rPr>
                <w:rFonts w:ascii="Malgun Gothic" w:cs="Malgun Gothic" w:eastAsia="Malgun Gothic" w:hAnsi="Malgun Gothic"/>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7.150 MB/s, do 6.450 MB/s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7.250 MB/s, do 6.450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Hitrost naključnega branja/pisanja (QD32)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700.000 IOPS, 1.100.000 IOPS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Do 850.000 IOPS, 1.200.000 IOPS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Programska oprema za upravljanje</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Programska oprema Samsung Magician</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Šifriranje podatkov</w:t>
            </w:r>
          </w:p>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AES 256-bitno šifriranje celotnega diska, TCG/Opal V2.0, šifriran pogon (IEEE1667)</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Skupno napisanih bitov (TBW)</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400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800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Garancija</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Triletna omejena garancija</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Na podlagi povprečne igre z velikostjo 64,3 GB – izračunano na osnovi 12 najboljših iger iz Steamove lestvice »Najboljše leta 2025: seznam novih izdaj</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w:t>
        <w:br w:type="textWrapping"/>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https://store.steampowered.com/charts/bestofyear/2025</w:t>
      </w:r>
    </w:p>
  </w:footnote>
  <w:footnote w:id="1">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SSD 990 dosega zaporedno branje/pisanje 1.686/1.697 MB/s na vat, medtem ko 990 PRO doseže 1.221/1.255 MB/s na vat – na podlagi internih testov modela s kapaciteto 2 TB.</w:t>
      </w:r>
    </w:p>
  </w:footnote>
  <w:footnote w:id="2">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Oznaka NVM Express</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superscript"/>
          <w:rtl w:val="0"/>
        </w:rPr>
        <w:t xml:space="preserve">®</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je registrirana blagovna znamka družbe NVM Express, Inc.</w:t>
      </w:r>
    </w:p>
  </w:footnote>
  <w:footnote w:id="3">
    <w:p w:rsidR="00000000" w:rsidDel="00000000" w:rsidP="00000000" w:rsidRDefault="00000000" w:rsidRPr="00000000" w14:paraId="00000037">
      <w:pPr>
        <w:spacing w:after="0" w:line="240" w:lineRule="auto"/>
        <w:jc w:val="left"/>
        <w:rPr>
          <w:i w:val="1"/>
          <w:iCs w:val="1"/>
          <w:sz w:val="14"/>
          <w:szCs w:val="14"/>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i w:val="1"/>
          <w:iCs w:val="1"/>
          <w:sz w:val="14"/>
          <w:szCs w:val="14"/>
          <w:rtl w:val="0"/>
        </w:rPr>
        <w:t xml:space="preserve">1 GB = 1.000.000.000 bajtov po IDEMA. Določen del kapacitete se lahko uporablja za sistemske datoteke in vzdrževanje, zato se lahko dejanska razpoložljiva kapaciteta razlikuje od označene skupne kapacitete.</w:t>
      </w:r>
    </w:p>
  </w:footnote>
  <w:footnote w:id="4">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20"/>
          <w:szCs w:val="20"/>
          <w:u w:val="none"/>
          <w:shd w:fill="auto" w:val="clear"/>
          <w:vertAlign w:val="superscript"/>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Zaporedne in naključne zmogljivosti temeljijo na orodju 1Ometer1.1.0. Zmogljivost se lahko razlikuje glede na različico vdelane programske opreme diska SSD, sistemsko strojno opremo in konfiguracijo. Testni sistem: AMD Ryzen 9 7650X 16-jedrni procesor </w:t>
      </w:r>
      <w:hyperlink r:id="rId1">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CPU@4.50GHz</w:t>
        </w:r>
      </w:hyperlink>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 DDR5 4800MHz (16GBx2), OS-Windows 11 Pro 64bit, sistemski nabor – ASRock-X670E-Taichi. Hitrosti zaporednega in naključnega pisanja so bile izmerjene z vključeno tehnologijo  Intelligent TurboWrite. Tehnologija Intelligent TurboWrite je aktivna le pri določeni velikosti prenosa podatkov. Za podrobnejše informacije se obrnite na lokalni servisni center.</w:t>
      </w:r>
    </w:p>
  </w:footnote>
  <w:footnote w:id="5">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bscript"/>
          <w:rtl w:val="0"/>
        </w:rPr>
        <w:t xml:space="preserve">Družba Samsung Electronics ni odgovorna za kakršno koli izgubo, vključno, vendar ne omejeno na izgubo podatkov ali drugih informacij na izdelku družbe Samsung ali izgubo dobička ali prihodka, ki jo lahko povzroči uporabnik.</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bscript"/>
          <w:rtl w:val="0"/>
        </w:rPr>
        <w:t xml:space="preserve">Garancija zagotavlja kritje za navedeno časovno obdobje ali TBW (skupno napisanih bitov), kar nastopi prej.</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perscript"/>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20"/>
          <w:szCs w:val="20"/>
          <w:u w:val="none"/>
          <w:shd w:fill="auto" w:val="clear"/>
          <w:vertAlign w:val="subscript"/>
          <w:rtl w:val="0"/>
        </w:rPr>
        <w:t xml:space="preserve">Prosimo, glejte podrobno garancijsko izjavo na http://www.samsung.com/samsungssd.</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sl"/>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CPU@4.50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siUg8G2T4NnxrVwu3XwzayEc2g==">CgMxLjA4AHIhMWlvdmt3M3RFY2lRVEdlZDZuWFp1Q2RjcXdZa082VVZo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