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831408" w:rsidRPr="00A5230B" w:rsidRDefault="00773F1F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noProof/>
          <w:sz w:val="22"/>
          <w:szCs w:val="22"/>
          <w:lang w:val="pl-PL"/>
        </w:rPr>
        <w:drawing>
          <wp:inline distT="0" distB="0" distL="0" distR="0" wp14:anchorId="08689887" wp14:editId="672DA341">
            <wp:extent cx="5753100" cy="4629150"/>
            <wp:effectExtent l="0" t="0" r="0" b="0"/>
            <wp:docPr id="2788085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FF4A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COOL-LITE® SKN 155 i SKN 155 II – parametry w </w:t>
      </w:r>
      <w:r w:rsidR="00831408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najlepszej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formie dla </w:t>
      </w:r>
      <w:r w:rsidR="003D062E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współczesnych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fasad</w:t>
      </w:r>
    </w:p>
    <w:p w14:paraId="6450E3F7" w14:textId="22D2177C" w:rsidR="00F075FC" w:rsidRPr="00A5230B" w:rsidRDefault="44582F2C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W sporcie dobry wynik nie jest dziełem przypadku. Decydują o nim przygotowanie, konsekwencja</w:t>
      </w:r>
      <w:r w:rsidR="00D6760B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i 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praca nad każdym parametrem: tempem, wytrzymałością, techniką oraz zdolnością do reagowania na zmienne warunki. Podobnie jest we współczesnej architekturze. Budynki mierz</w:t>
      </w:r>
      <w:r w:rsidR="537A3B37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ą 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się z coraz większymi wyzwaniami – </w:t>
      </w:r>
      <w:r w:rsidR="5C04B338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również w kontekście potrzeby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ograniczania przegrzewania wnętrz.</w:t>
      </w:r>
      <w:r w:rsidR="269AC294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Zadaniem producentów nowoczesnych rozwiązań szklanych jest ciągłe doskonalenie </w:t>
      </w:r>
      <w:r w:rsidR="3C29169E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portfoli</w:t>
      </w:r>
      <w:r w:rsidR="00711F31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o</w:t>
      </w:r>
      <w:r w:rsidR="00D6760B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o </w:t>
      </w:r>
      <w:r w:rsidR="269AC294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rozwiązania, które będą odpow</w:t>
      </w:r>
      <w:r w:rsidR="7D1BC1A3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iedzią na te wyzwania</w:t>
      </w:r>
      <w:r w:rsidR="17B56C85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. Przykładem tego jest 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nowość w ofercie Saint-Gobain Glass</w:t>
      </w:r>
      <w:r w:rsidR="32B036B4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: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COOL-LITE® SKN 155 i COOL-LITE® SKN 155 II</w:t>
      </w:r>
      <w:r w:rsidR="32B036B4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–</w:t>
      </w: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wysokoselektywne szkło przeciwsłoneczne.</w:t>
      </w:r>
    </w:p>
    <w:p w14:paraId="6E2D0FE2" w14:textId="142EFE11" w:rsidR="00F075FC" w:rsidRPr="00A5230B" w:rsidRDefault="79879831" w:rsidP="73F214C9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Zmieniający się klimat coraz wyraźniej wpływa na sposób projektowania i użytkowania </w:t>
      </w:r>
      <w:r w:rsidR="48B48A12" w:rsidRPr="00A5230B">
        <w:rPr>
          <w:rFonts w:asciiTheme="minorHAnsi" w:hAnsiTheme="minorHAnsi" w:cstheme="minorHAnsi"/>
          <w:sz w:val="22"/>
          <w:szCs w:val="22"/>
          <w:lang w:val="pl-PL"/>
        </w:rPr>
        <w:t>obiektów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48B48A12" w:rsidRPr="00A5230B">
        <w:rPr>
          <w:rFonts w:asciiTheme="minorHAnsi" w:hAnsiTheme="minorHAnsi" w:cstheme="minorHAnsi"/>
          <w:sz w:val="22"/>
          <w:szCs w:val="22"/>
          <w:lang w:val="pl-PL"/>
        </w:rPr>
        <w:t>Gorące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lata, lokalne fale upałów oraz duże wahania temperatur sprawiają, że komfort termiczny przestaje być wyłącznie kwestią sezonową. Staje się jednym z </w:t>
      </w:r>
      <w:r w:rsidR="29832CE0" w:rsidRPr="00A5230B">
        <w:rPr>
          <w:rFonts w:asciiTheme="minorHAnsi" w:hAnsiTheme="minorHAnsi" w:cstheme="minorHAnsi"/>
          <w:sz w:val="22"/>
          <w:szCs w:val="22"/>
          <w:lang w:val="pl-PL"/>
        </w:rPr>
        <w:t>czynników wpływających na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jakoś</w:t>
      </w:r>
      <w:r w:rsidR="29832CE0" w:rsidRPr="00A5230B">
        <w:rPr>
          <w:rFonts w:asciiTheme="minorHAnsi" w:hAnsiTheme="minorHAnsi" w:cstheme="minorHAnsi"/>
          <w:sz w:val="22"/>
          <w:szCs w:val="22"/>
          <w:lang w:val="pl-PL"/>
        </w:rPr>
        <w:t>ć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przestrzeni – </w:t>
      </w:r>
      <w:r w:rsidR="773DB7E2" w:rsidRPr="00A5230B">
        <w:rPr>
          <w:rFonts w:asciiTheme="minorHAnsi" w:hAnsiTheme="minorHAnsi" w:cstheme="minorHAnsi"/>
          <w:sz w:val="22"/>
          <w:szCs w:val="22"/>
          <w:lang w:val="pl-PL"/>
        </w:rPr>
        <w:t>niezależnie od przeznaczenia budynku</w:t>
      </w:r>
      <w:r w:rsidR="2C527149" w:rsidRPr="00A5230B">
        <w:rPr>
          <w:rFonts w:asciiTheme="minorHAnsi" w:hAnsiTheme="minorHAnsi" w:cstheme="minorHAnsi"/>
          <w:sz w:val="22"/>
          <w:szCs w:val="22"/>
          <w:lang w:val="pl-PL"/>
        </w:rPr>
        <w:t>:</w:t>
      </w:r>
      <w:r w:rsidR="5D019C06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773DB7E2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od </w:t>
      </w:r>
      <w:r w:rsidR="0C4820AF" w:rsidRPr="00A5230B">
        <w:rPr>
          <w:rFonts w:asciiTheme="minorHAnsi" w:hAnsiTheme="minorHAnsi" w:cstheme="minorHAnsi"/>
          <w:sz w:val="22"/>
          <w:szCs w:val="22"/>
          <w:lang w:val="pl-PL"/>
        </w:rPr>
        <w:t>inwestycji</w:t>
      </w:r>
      <w:r w:rsidR="773DB7E2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mieszkaniowych po nowoczesne biurowce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65B3712B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Jednocześnie duże przeszklenia pozostają jednym z najważniejszych znaków współczesnej architektury. Otwierają wnętrza na światło dzienne, podkreślają lekkość bryły, pozwalają </w:t>
      </w:r>
      <w:r w:rsidR="00831408" w:rsidRPr="00A5230B">
        <w:rPr>
          <w:rFonts w:asciiTheme="minorHAnsi" w:hAnsiTheme="minorHAnsi" w:cstheme="minorHAnsi"/>
          <w:sz w:val="22"/>
          <w:szCs w:val="22"/>
          <w:lang w:val="pl-PL"/>
        </w:rPr>
        <w:t>tworzyć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lastRenderedPageBreak/>
        <w:t>relację z otoczeniem</w:t>
      </w:r>
      <w:r w:rsidR="00933B55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, a przy tym –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wzmacniają prestiż</w:t>
      </w:r>
      <w:r w:rsidR="00BD75E6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całej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inwestycji. </w:t>
      </w:r>
    </w:p>
    <w:p w14:paraId="11D3B7CA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Trening parametrów, który widać na fasadzie</w:t>
      </w:r>
    </w:p>
    <w:p w14:paraId="1E88AA67" w14:textId="641467C7" w:rsidR="00F075FC" w:rsidRPr="00A5230B" w:rsidRDefault="44582F2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Tak jak biegacz przygotowuje się do startu, doskonaląc każdy detal mający wpływ na wynik, tak</w:t>
      </w:r>
      <w:r w:rsidR="00D6760B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w 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przypadku szkła przeciwsłonecznego znaczenie ma </w:t>
      </w:r>
      <w:r w:rsidR="644E55AE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odpowiedni trening wielu </w:t>
      </w:r>
      <w:r w:rsidR="3DAFFA47" w:rsidRPr="00A5230B">
        <w:rPr>
          <w:rFonts w:asciiTheme="minorHAnsi" w:hAnsiTheme="minorHAnsi" w:cstheme="minorHAnsi"/>
          <w:sz w:val="22"/>
          <w:szCs w:val="22"/>
          <w:lang w:val="pl-PL"/>
        </w:rPr>
        <w:t>parametrów</w:t>
      </w:r>
      <w:r w:rsidR="6278E746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: </w:t>
      </w:r>
      <w:r w:rsidR="01D7D05A" w:rsidRPr="00A5230B">
        <w:rPr>
          <w:rFonts w:asciiTheme="minorHAnsi" w:hAnsiTheme="minorHAnsi" w:cstheme="minorHAnsi"/>
          <w:sz w:val="22"/>
          <w:szCs w:val="22"/>
          <w:lang w:val="pl-PL"/>
        </w:rPr>
        <w:t>p</w:t>
      </w:r>
      <w:r w:rsidR="5C04B338" w:rsidRPr="00A5230B">
        <w:rPr>
          <w:rFonts w:asciiTheme="minorHAnsi" w:hAnsiTheme="minorHAnsi" w:cstheme="minorHAnsi"/>
          <w:sz w:val="22"/>
          <w:szCs w:val="22"/>
          <w:lang w:val="pl-PL"/>
        </w:rPr>
        <w:t>rzepuszczalnoś</w:t>
      </w:r>
      <w:r w:rsidR="07AE4984" w:rsidRPr="00A5230B">
        <w:rPr>
          <w:rFonts w:asciiTheme="minorHAnsi" w:hAnsiTheme="minorHAnsi" w:cstheme="minorHAnsi"/>
          <w:sz w:val="22"/>
          <w:szCs w:val="22"/>
          <w:lang w:val="pl-PL"/>
        </w:rPr>
        <w:t>ć</w:t>
      </w:r>
      <w:r w:rsidR="5C04B338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światła, przepuszczalnoś</w:t>
      </w:r>
      <w:r w:rsidR="4F3AE735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ć </w:t>
      </w:r>
      <w:r w:rsidR="5C04B338" w:rsidRPr="00A5230B">
        <w:rPr>
          <w:rFonts w:asciiTheme="minorHAnsi" w:hAnsiTheme="minorHAnsi" w:cstheme="minorHAnsi"/>
          <w:sz w:val="22"/>
          <w:szCs w:val="22"/>
          <w:lang w:val="pl-PL"/>
        </w:rPr>
        <w:t>energii słonecznej, poziom odbicia, estetyk</w:t>
      </w:r>
      <w:r w:rsidR="51270664" w:rsidRPr="00A5230B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189EE8DE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. Wspólnie pracują na </w:t>
      </w:r>
      <w:r w:rsidR="4E2E7077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efekt końcowy </w:t>
      </w:r>
      <w:r w:rsidR="5C04B338" w:rsidRPr="00A5230B">
        <w:rPr>
          <w:rFonts w:asciiTheme="minorHAnsi" w:hAnsiTheme="minorHAnsi" w:cstheme="minorHAnsi"/>
          <w:sz w:val="22"/>
          <w:szCs w:val="22"/>
          <w:lang w:val="pl-PL"/>
        </w:rPr>
        <w:t>widoczny na fasadzie.</w:t>
      </w:r>
    </w:p>
    <w:p w14:paraId="7E13306C" w14:textId="1D47557C" w:rsidR="00F075FC" w:rsidRPr="00A5230B" w:rsidRDefault="79879831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Nowe szkło z rodziny COOL-LITE®</w:t>
      </w:r>
      <w:r w:rsidR="115003BE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SKN 155 i SKN 155 II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zapewnia bardzo dobre połączenie dostępu do światła dziennego i ochrony przeciwsłonecznej. </w:t>
      </w:r>
      <w:r w:rsidR="34BE530E" w:rsidRPr="00A5230B">
        <w:rPr>
          <w:rFonts w:asciiTheme="minorHAnsi" w:hAnsiTheme="minorHAnsi" w:cstheme="minorHAnsi"/>
          <w:sz w:val="22"/>
          <w:szCs w:val="22"/>
          <w:lang w:val="pl-PL"/>
        </w:rPr>
        <w:t>W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artość współczynnika przepuszczalności światła LT na poziomie 50% oraz współczynnika przepuszczalności energii słonecznej g na poziomie 27%</w:t>
      </w:r>
      <w:r w:rsidR="02A66FEE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o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znacza, że wnętrza pozostają dobrze doświetlone światłem dziennym, a jednocześnie są skutecznie chronione przed </w:t>
      </w:r>
      <w:r w:rsidR="7AA0348E" w:rsidRPr="00A5230B">
        <w:rPr>
          <w:rFonts w:asciiTheme="minorHAnsi" w:hAnsiTheme="minorHAnsi" w:cstheme="minorHAnsi"/>
          <w:sz w:val="22"/>
          <w:szCs w:val="22"/>
          <w:lang w:val="pl-PL"/>
        </w:rPr>
        <w:t>nadmiernym nagrzewaniem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1CAEB631" w14:textId="0DEB47AD" w:rsidR="00F075FC" w:rsidRPr="00A5230B" w:rsidRDefault="79879831" w:rsidP="73F214C9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W praktyce te parametry mają bezpośrednie znaczenie dla codziennego użytkowania</w:t>
      </w:r>
      <w:r w:rsidR="25F5BDE6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przestrzeni</w:t>
      </w:r>
      <w:r w:rsidR="15A48421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–</w:t>
      </w:r>
      <w:r w:rsidR="7519C305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25F5BDE6" w:rsidRPr="00A5230B">
        <w:rPr>
          <w:rFonts w:asciiTheme="minorHAnsi" w:hAnsiTheme="minorHAnsi" w:cstheme="minorHAnsi"/>
          <w:sz w:val="22"/>
          <w:szCs w:val="22"/>
          <w:lang w:val="pl-PL"/>
        </w:rPr>
        <w:t>czy to w mieszkaniu</w:t>
      </w:r>
      <w:r w:rsidR="78C78BEA" w:rsidRPr="00A5230B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25F5BDE6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czy w biurze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. Pomagają tworzyć komfortow</w:t>
      </w:r>
      <w:r w:rsidR="2EDA94B5" w:rsidRPr="00A5230B">
        <w:rPr>
          <w:rFonts w:asciiTheme="minorHAnsi" w:hAnsiTheme="minorHAnsi" w:cstheme="minorHAnsi"/>
          <w:sz w:val="22"/>
          <w:szCs w:val="22"/>
          <w:lang w:val="pl-PL"/>
        </w:rPr>
        <w:t>y klimat</w:t>
      </w:r>
      <w:r w:rsidR="6E02E76D" w:rsidRPr="00A5230B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2EDA94B5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ograniczając zapotrzebowanie na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chłodzenie. </w:t>
      </w:r>
      <w:r w:rsidR="76B8F99A" w:rsidRPr="00A5230B">
        <w:rPr>
          <w:rFonts w:asciiTheme="minorHAnsi" w:hAnsiTheme="minorHAnsi" w:cstheme="minorHAnsi"/>
          <w:sz w:val="22"/>
          <w:szCs w:val="22"/>
          <w:lang w:val="pl-PL"/>
        </w:rPr>
        <w:t>T</w:t>
      </w:r>
      <w:r w:rsidR="7FBBCFCD" w:rsidRPr="00A5230B">
        <w:rPr>
          <w:rFonts w:asciiTheme="minorHAnsi" w:hAnsiTheme="minorHAnsi" w:cstheme="minorHAnsi"/>
          <w:sz w:val="22"/>
          <w:szCs w:val="22"/>
          <w:lang w:val="pl-PL"/>
        </w:rPr>
        <w:t>en plan treningowy sprawdza się doskonale</w:t>
      </w:r>
      <w:r w:rsidR="44AB72D0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szczególnie w czasie upałów</w:t>
      </w:r>
      <w:r w:rsidR="7FBBCFCD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60B30375" w:rsidRPr="00A5230B">
        <w:rPr>
          <w:rFonts w:asciiTheme="minorHAnsi" w:hAnsiTheme="minorHAnsi" w:cstheme="minorHAnsi"/>
          <w:sz w:val="22"/>
          <w:szCs w:val="22"/>
          <w:lang w:val="pl-PL"/>
        </w:rPr>
        <w:t>O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dpowiednio dobrane szkło staje się jednym z </w:t>
      </w:r>
      <w:r w:rsidR="3CE35CBF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kluczowych elementów fasady, chroniąc wnętrze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przed przegrzewaniem.</w:t>
      </w:r>
    </w:p>
    <w:p w14:paraId="0A37501D" w14:textId="77777777" w:rsidR="00933B55" w:rsidRPr="00A5230B" w:rsidRDefault="00773F1F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noProof/>
          <w:sz w:val="22"/>
          <w:szCs w:val="22"/>
          <w:lang w:val="pl-PL"/>
        </w:rPr>
        <w:drawing>
          <wp:inline distT="0" distB="0" distL="0" distR="0" wp14:anchorId="5B0CF194" wp14:editId="4C836104">
            <wp:extent cx="5762625" cy="3228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DC1B" w14:textId="403A8382" w:rsidR="00F075FC" w:rsidRPr="00A5230B" w:rsidRDefault="79879831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Tempo zmian klimatu wymaga </w:t>
      </w:r>
      <w:r w:rsidR="663E6D83"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elastycznego planu treningowego</w:t>
      </w:r>
    </w:p>
    <w:p w14:paraId="39A1F4A1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Projektowanie budynków coraz częściej przypomina długodystansowy bieg w zmiennych warunkach</w:t>
      </w:r>
      <w:r w:rsidR="009675CF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pogodowych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. Liczy się nie tylko efekt widoczny w dniu oddania inwestycji, ale także jej funkcjonowanie przez kolejne lata. Rosnące temperatury, miejskie wyspy ciepła i coraz częstsze okresy intensywnego nasłonecznienia pokazują, że </w:t>
      </w:r>
      <w:r w:rsidR="00933B55" w:rsidRPr="00A5230B">
        <w:rPr>
          <w:rFonts w:asciiTheme="minorHAnsi" w:hAnsiTheme="minorHAnsi" w:cstheme="minorHAnsi"/>
          <w:sz w:val="22"/>
          <w:szCs w:val="22"/>
          <w:lang w:val="pl-PL"/>
        </w:rPr>
        <w:t>elewacje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muszą być przygotowane na realia, które jeszcze kilkanaście lat temu były mniej odczuwalne.</w:t>
      </w:r>
    </w:p>
    <w:p w14:paraId="2D5DFB99" w14:textId="2935141D" w:rsidR="00F075FC" w:rsidRPr="00A5230B" w:rsidRDefault="44582F2C" w:rsidP="1CED931B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lastRenderedPageBreak/>
        <w:t xml:space="preserve">Dlatego </w:t>
      </w:r>
      <w:r w:rsidR="49CCB680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szczytowym osiągnięciem dzisiejszej architektury </w:t>
      </w:r>
      <w:r w:rsidR="32972C1C" w:rsidRPr="00A5230B">
        <w:rPr>
          <w:rFonts w:asciiTheme="minorHAnsi" w:hAnsiTheme="minorHAnsi" w:cstheme="minorHAnsi"/>
          <w:sz w:val="22"/>
          <w:szCs w:val="22"/>
          <w:lang w:val="pl-PL"/>
        </w:rPr>
        <w:t>jest</w:t>
      </w:r>
      <w:r w:rsidR="49CCB680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zapewnienie równowagi pomiędzy komfortem termicznym, efektywnością energetyczną i dopracowaną estetyką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– szczególnie tam, gdzie </w:t>
      </w:r>
      <w:r w:rsidR="62C25E7C" w:rsidRPr="00A5230B">
        <w:rPr>
          <w:rFonts w:asciiTheme="minorHAnsi" w:hAnsiTheme="minorHAnsi" w:cstheme="minorHAnsi"/>
          <w:sz w:val="22"/>
          <w:szCs w:val="22"/>
          <w:lang w:val="pl-PL"/>
        </w:rPr>
        <w:t>stosuje się duże przeszklenia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. COOL-LITE® SKN 155 i SKN 155 II odpowiadają właśnie na tę potrzeb</w:t>
      </w:r>
      <w:r w:rsidR="6C9731AB" w:rsidRPr="00A5230B">
        <w:rPr>
          <w:rFonts w:asciiTheme="minorHAnsi" w:hAnsiTheme="minorHAnsi" w:cstheme="minorHAnsi"/>
          <w:sz w:val="22"/>
          <w:szCs w:val="22"/>
          <w:lang w:val="pl-PL"/>
        </w:rPr>
        <w:t>ę</w:t>
      </w:r>
      <w:r w:rsidR="1B6DD380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>, łącząc parametry użytkowe i dobre samopoczucie</w:t>
      </w:r>
      <w:r w:rsidR="72756D1C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użytkowników przestrzeni</w:t>
      </w:r>
      <w:r w:rsidR="1B6DD380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</w:p>
    <w:p w14:paraId="330C04CA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Nowy wymiar estetyki</w:t>
      </w:r>
    </w:p>
    <w:p w14:paraId="3E406298" w14:textId="5330E586" w:rsidR="00F075FC" w:rsidRPr="00A5230B" w:rsidRDefault="79879831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Tak jak w sporcie liczy się forma</w:t>
      </w:r>
      <w:r w:rsidR="115003BE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–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w projek</w:t>
      </w:r>
      <w:r w:rsidR="2390B820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cie architektonicznym </w:t>
      </w:r>
      <w:r w:rsidR="60AED842" w:rsidRPr="00A5230B">
        <w:rPr>
          <w:rFonts w:asciiTheme="minorHAnsi" w:hAnsiTheme="minorHAnsi" w:cstheme="minorHAnsi"/>
          <w:sz w:val="22"/>
          <w:szCs w:val="22"/>
          <w:lang w:val="pl-PL"/>
        </w:rPr>
        <w:t>pierwszoplanowe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znaczenie ma estetyka. </w:t>
      </w:r>
      <w:r w:rsidR="6E323DBD" w:rsidRPr="00A5230B">
        <w:rPr>
          <w:rFonts w:asciiTheme="minorHAnsi" w:hAnsiTheme="minorHAnsi" w:cstheme="minorHAnsi"/>
          <w:sz w:val="22"/>
          <w:szCs w:val="22"/>
          <w:lang w:val="pl-PL"/>
        </w:rPr>
        <w:t>To</w:t>
      </w:r>
      <w:r w:rsidR="113018B1" w:rsidRPr="00A5230B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6E323DBD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jak szkło będzie odbierane na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elewacji</w:t>
      </w:r>
      <w:r w:rsidR="08222E45" w:rsidRPr="00A5230B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wpływa na charakter całego budynku, </w:t>
      </w:r>
      <w:r w:rsidR="36293DEA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integrację z tkaną miejską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i sposób, w jaki inwestycja jest odbierana przez </w:t>
      </w:r>
      <w:r w:rsidR="441E13C6" w:rsidRPr="00A5230B">
        <w:rPr>
          <w:rFonts w:asciiTheme="minorHAnsi" w:hAnsiTheme="minorHAnsi" w:cstheme="minorHAnsi"/>
          <w:sz w:val="22"/>
          <w:szCs w:val="22"/>
          <w:lang w:val="pl-PL"/>
        </w:rPr>
        <w:t>otoczenie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28CECCD2" w14:textId="0F28183C" w:rsidR="00F075FC" w:rsidRPr="00A5230B" w:rsidRDefault="79879831" w:rsidP="73F214C9">
      <w:pPr>
        <w:spacing w:before="24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COOL-LITE® SKN 155 i SKN 155 II </w:t>
      </w:r>
      <w:r w:rsidR="5FA8ABB2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gwarantuje neutralną estetykę, która jest spójna niezależnie od kąta obserwacji. Neutralny wygląd szkła w połączeniu z niską wartością odbicia zewnętrznego podkreśla charakter architektoniczny </w:t>
      </w:r>
      <w:r w:rsidR="4FE7EF23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>obiektu</w:t>
      </w:r>
      <w:r w:rsidR="543441EA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, </w:t>
      </w:r>
      <w:r w:rsidR="5FA8ABB2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>gwarantując wizualną harmonię na przeszklonych elementach elewacji</w:t>
      </w:r>
      <w:r w:rsidR="0299393E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  <w:r w:rsidR="1194FD49" w:rsidRPr="00A5230B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6AC44804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Doskonale sprawdza się zarówno w </w:t>
      </w:r>
      <w:r w:rsidR="55240F60" w:rsidRPr="00A5230B">
        <w:rPr>
          <w:rFonts w:asciiTheme="minorHAnsi" w:hAnsiTheme="minorHAnsi" w:cstheme="minorHAnsi"/>
          <w:sz w:val="22"/>
          <w:szCs w:val="22"/>
          <w:lang w:val="pl-PL"/>
        </w:rPr>
        <w:t>obiektach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komercyjnych</w:t>
      </w:r>
      <w:r w:rsidR="55240F60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jak i w prestiżowych </w:t>
      </w:r>
      <w:r w:rsidR="2500F7F6" w:rsidRPr="00A5230B">
        <w:rPr>
          <w:rFonts w:asciiTheme="minorHAnsi" w:hAnsiTheme="minorHAnsi" w:cstheme="minorHAnsi"/>
          <w:sz w:val="22"/>
          <w:szCs w:val="22"/>
          <w:lang w:val="pl-PL"/>
        </w:rPr>
        <w:t>realizacjach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mieszkaniowych</w:t>
      </w:r>
      <w:r w:rsidR="576EC1D0" w:rsidRPr="00A5230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72F2D2F5" w14:textId="6BF8D1DA" w:rsidR="00F075FC" w:rsidRPr="00A5230B" w:rsidRDefault="00F075FC" w:rsidP="73F214C9">
      <w:pPr>
        <w:spacing w:before="24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Swoboda projektowania i niezawodne działanie</w:t>
      </w:r>
    </w:p>
    <w:p w14:paraId="436EBEEA" w14:textId="31AE8811" w:rsidR="00F075FC" w:rsidRPr="00A5230B" w:rsidRDefault="79879831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Każdy projekt ma własną trasę, wymagania i warunki startowe. </w:t>
      </w:r>
      <w:r w:rsidR="4621FE22" w:rsidRPr="00A5230B">
        <w:rPr>
          <w:rFonts w:asciiTheme="minorHAnsi" w:hAnsiTheme="minorHAnsi" w:cstheme="minorHAnsi"/>
          <w:sz w:val="22"/>
          <w:szCs w:val="22"/>
          <w:lang w:val="pl-PL"/>
        </w:rPr>
        <w:t>N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owoczesne szkło fasadowe </w:t>
      </w:r>
      <w:r w:rsidR="73EBBC84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powinno </w:t>
      </w:r>
      <w:r w:rsidR="09833C51" w:rsidRPr="00A5230B">
        <w:rPr>
          <w:rFonts w:asciiTheme="minorHAnsi" w:hAnsiTheme="minorHAnsi" w:cstheme="minorHAnsi"/>
          <w:sz w:val="22"/>
          <w:szCs w:val="22"/>
          <w:lang w:val="pl-PL"/>
        </w:rPr>
        <w:t>dać możliwość połączenia różnych czynników i wymagań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. COOL-LITE® SKN 155 jest dostępne w wersji odprężonej, a COOL-LITE® SKN 155 II w wersji przeznaczonej do hartowania. </w:t>
      </w:r>
      <w:r w:rsidR="00D1F5D3" w:rsidRPr="00A5230B">
        <w:rPr>
          <w:rFonts w:asciiTheme="minorHAnsi" w:hAnsiTheme="minorHAnsi" w:cstheme="minorHAnsi"/>
          <w:sz w:val="22"/>
          <w:szCs w:val="22"/>
          <w:lang w:val="pl-PL"/>
        </w:rPr>
        <w:t>Rozwiązania</w:t>
      </w:r>
      <w:r w:rsidR="03A095E2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oferują spójne właściwości użytkowe i zbliżoną estetykę, co pozwala zachować jednolity charakter projektu przy różnych wymaganiach dotyczących bezpieczeństwa, przepisów i konfiguracji przeszkleń.</w:t>
      </w:r>
    </w:p>
    <w:p w14:paraId="3E690CA2" w14:textId="1CE7A6AE" w:rsidR="001521B3" w:rsidRPr="00A5230B" w:rsidRDefault="55240F60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Produkt</w:t>
      </w:r>
      <w:r w:rsidR="79879831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jest </w:t>
      </w:r>
      <w:r w:rsidR="4FE75495" w:rsidRPr="00A5230B">
        <w:rPr>
          <w:rFonts w:asciiTheme="minorHAnsi" w:hAnsiTheme="minorHAnsi" w:cstheme="minorHAnsi"/>
          <w:sz w:val="22"/>
          <w:szCs w:val="22"/>
          <w:lang w:val="pl-PL"/>
        </w:rPr>
        <w:t>d</w:t>
      </w:r>
      <w:r w:rsidR="79879831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ostępny </w:t>
      </w:r>
      <w:r w:rsidR="23B7EA42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na szkle </w:t>
      </w:r>
      <w:r w:rsidR="79879831" w:rsidRPr="00A5230B">
        <w:rPr>
          <w:rFonts w:asciiTheme="minorHAnsi" w:hAnsiTheme="minorHAnsi" w:cstheme="minorHAnsi"/>
          <w:sz w:val="22"/>
          <w:szCs w:val="22"/>
          <w:lang w:val="pl-PL"/>
        </w:rPr>
        <w:t>ORAÉ® o obniżonym śladzie węglowym. To pozwala łączyć wymagania dotyczące komfortu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czy</w:t>
      </w:r>
      <w:r w:rsidR="79879831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efektywności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79879831" w:rsidRPr="00A5230B">
        <w:rPr>
          <w:rFonts w:asciiTheme="minorHAnsi" w:hAnsiTheme="minorHAnsi" w:cstheme="minorHAnsi"/>
          <w:sz w:val="22"/>
          <w:szCs w:val="22"/>
          <w:lang w:val="pl-PL"/>
        </w:rPr>
        <w:t>z coraz większą świadomością środowiskową w procesie doboru materiałów budowlanych.</w:t>
      </w:r>
    </w:p>
    <w:p w14:paraId="288B736E" w14:textId="77777777" w:rsidR="009675CF" w:rsidRPr="00A5230B" w:rsidRDefault="009675CF" w:rsidP="00831408">
      <w:pPr>
        <w:spacing w:before="0" w:after="240" w:line="240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b/>
          <w:bCs/>
          <w:sz w:val="22"/>
          <w:szCs w:val="22"/>
          <w:lang w:val="pl-PL"/>
        </w:rPr>
        <w:t>Na mecie: fasada gotowa na przyszłość</w:t>
      </w:r>
    </w:p>
    <w:p w14:paraId="29E4B798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>Nowość Saint-Gobain Glass pokazuje, że odpowiedź na lokalne skutki zmieniającego się klimatu nie musi oznaczać kompromisu.</w:t>
      </w:r>
      <w:r w:rsidR="001521B3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Tak jak w biegu o końcowym rezultacie decyduje suma wielu dopracowanych elementów, tak w nowoczesnym budownictwie liczy się świadomy dobór rozwiązań </w:t>
      </w:r>
      <w:r w:rsidR="002978FC" w:rsidRPr="00A5230B">
        <w:rPr>
          <w:rFonts w:asciiTheme="minorHAnsi" w:hAnsiTheme="minorHAnsi" w:cstheme="minorHAnsi"/>
          <w:sz w:val="22"/>
          <w:szCs w:val="22"/>
          <w:lang w:val="pl-PL"/>
        </w:rPr>
        <w:t>wpływających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na </w:t>
      </w:r>
      <w:r w:rsidR="001521B3" w:rsidRPr="00A5230B">
        <w:rPr>
          <w:rFonts w:asciiTheme="minorHAnsi" w:hAnsiTheme="minorHAnsi" w:cstheme="minorHAnsi"/>
          <w:sz w:val="22"/>
          <w:szCs w:val="22"/>
          <w:lang w:val="pl-PL"/>
        </w:rPr>
        <w:t>odbiór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całej inwestycji. COOL-LITE® SKN 155 i SKN 155 II to nowy zawodnik w rodzinie szkieł przeciwsłonecznych</w:t>
      </w:r>
      <w:r w:rsidR="002978FC"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A5230B">
        <w:rPr>
          <w:rFonts w:asciiTheme="minorHAnsi" w:hAnsiTheme="minorHAnsi" w:cstheme="minorHAnsi"/>
          <w:sz w:val="22"/>
          <w:szCs w:val="22"/>
          <w:lang w:val="pl-PL"/>
        </w:rPr>
        <w:t>– gotowy na tempo zmian, z jakim mierzy się współczesna architektura.</w:t>
      </w:r>
    </w:p>
    <w:p w14:paraId="5EBC0F19" w14:textId="0C9ED81F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sz w:val="22"/>
          <w:szCs w:val="22"/>
          <w:lang w:val="pl-PL"/>
        </w:rPr>
        <w:t xml:space="preserve">Więcej informacji: </w:t>
      </w:r>
      <w:hyperlink r:id="rId10" w:history="1">
        <w:r w:rsidR="00A5230B" w:rsidRPr="00A5230B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https://www.saint-gobain-glass.pl/produkty/szklo-fasadowe/cool-lite-skn-155-II</w:t>
        </w:r>
      </w:hyperlink>
    </w:p>
    <w:p w14:paraId="5DAB6C7B" w14:textId="77777777" w:rsidR="001521B3" w:rsidRPr="00A5230B" w:rsidRDefault="00773F1F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A5230B">
        <w:rPr>
          <w:rFonts w:asciiTheme="minorHAnsi" w:hAnsiTheme="minorHAnsi" w:cstheme="minorHAnsi"/>
          <w:noProof/>
          <w:sz w:val="22"/>
          <w:szCs w:val="22"/>
          <w:lang w:val="pl-PL"/>
        </w:rPr>
        <w:lastRenderedPageBreak/>
        <w:drawing>
          <wp:inline distT="0" distB="0" distL="0" distR="0" wp14:anchorId="241F0D5F" wp14:editId="7DDE1974">
            <wp:extent cx="5743575" cy="38290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378F" w14:textId="77777777" w:rsidR="00F075FC" w:rsidRPr="00A5230B" w:rsidRDefault="00F075FC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14:paraId="6A05A809" w14:textId="77777777" w:rsidR="00731F0E" w:rsidRPr="00A5230B" w:rsidRDefault="00731F0E" w:rsidP="00831408">
      <w:pPr>
        <w:spacing w:before="0" w:after="240" w:line="240" w:lineRule="auto"/>
        <w:rPr>
          <w:rFonts w:asciiTheme="minorHAnsi" w:hAnsiTheme="minorHAnsi" w:cstheme="minorHAnsi"/>
          <w:sz w:val="22"/>
          <w:szCs w:val="22"/>
          <w:lang w:val="pl-PL"/>
        </w:rPr>
      </w:pPr>
    </w:p>
    <w:sectPr w:rsidR="00731F0E" w:rsidRPr="00A5230B">
      <w:headerReference w:type="default" r:id="rId12"/>
      <w:footerReference w:type="default" r:id="rId13"/>
      <w:pgSz w:w="11906" w:h="16838"/>
      <w:pgMar w:top="2238" w:right="1417" w:bottom="1595" w:left="1417" w:header="426" w:footer="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7F6B" w14:textId="77777777" w:rsidR="009F24A9" w:rsidRDefault="009F24A9">
      <w:pPr>
        <w:spacing w:before="0" w:after="0" w:line="240" w:lineRule="auto"/>
      </w:pPr>
      <w:r>
        <w:separator/>
      </w:r>
    </w:p>
  </w:endnote>
  <w:endnote w:type="continuationSeparator" w:id="0">
    <w:p w14:paraId="41A577F2" w14:textId="77777777" w:rsidR="009F24A9" w:rsidRDefault="009F24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z">
    <w:charset w:val="EE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lbany">
    <w:altName w:val="Arial"/>
    <w:charset w:val="0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E23E4" w14:textId="77777777" w:rsidR="001918D0" w:rsidRPr="00D6760B" w:rsidRDefault="001918D0">
    <w:pPr>
      <w:pStyle w:val="Stopka"/>
      <w:ind w:left="3828" w:hanging="3828"/>
      <w:rPr>
        <w:lang w:val="pl-PL"/>
      </w:rPr>
    </w:pPr>
    <w:r w:rsidRPr="00D6760B">
      <w:rPr>
        <w:rFonts w:ascii="Calibri" w:hAnsi="Calibri" w:cs="Calibri"/>
        <w:color w:val="auto"/>
        <w:lang w:val="pl-PL"/>
      </w:rPr>
      <w:t>Tower Group</w:t>
    </w:r>
    <w:r w:rsidRPr="00D6760B">
      <w:rPr>
        <w:rFonts w:ascii="Calibri" w:hAnsi="Calibri" w:cs="Calibri"/>
        <w:color w:val="auto"/>
        <w:lang w:val="pl-PL"/>
      </w:rPr>
      <w:tab/>
    </w:r>
    <w:r w:rsidRPr="00D6760B">
      <w:rPr>
        <w:rFonts w:ascii="Calibri" w:hAnsi="Calibri" w:cs="Calibri"/>
        <w:color w:val="auto"/>
        <w:lang w:val="pl-PL"/>
      </w:rPr>
      <w:tab/>
      <w:t>Sienkiewicza 85/87</w:t>
    </w:r>
    <w:r w:rsidRPr="00D6760B">
      <w:rPr>
        <w:rFonts w:ascii="Calibri" w:hAnsi="Calibri" w:cs="Calibri"/>
        <w:color w:val="auto"/>
        <w:lang w:val="pl-PL"/>
      </w:rPr>
      <w:tab/>
      <w:t>www.towergroup.com.pl</w:t>
    </w:r>
    <w:r w:rsidRPr="00D6760B">
      <w:rPr>
        <w:rFonts w:ascii="Calibri" w:hAnsi="Calibri" w:cs="Calibri"/>
        <w:color w:val="auto"/>
        <w:lang w:val="pl-PL"/>
      </w:rPr>
      <w:br/>
      <w:t>90-057 Łódź</w:t>
    </w:r>
    <w:r w:rsidRPr="00D6760B">
      <w:rPr>
        <w:rFonts w:ascii="Calibri" w:hAnsi="Calibri" w:cs="Calibri"/>
        <w:color w:val="auto"/>
        <w:lang w:val="pl-PL"/>
      </w:rPr>
      <w:br/>
    </w:r>
    <w:r w:rsidRPr="00D6760B">
      <w:rPr>
        <w:color w:val="auto"/>
        <w:lang w:val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E7D3E" w14:textId="77777777" w:rsidR="009F24A9" w:rsidRDefault="009F24A9">
      <w:pPr>
        <w:spacing w:before="0" w:after="0" w:line="240" w:lineRule="auto"/>
      </w:pPr>
      <w:r>
        <w:separator/>
      </w:r>
    </w:p>
  </w:footnote>
  <w:footnote w:type="continuationSeparator" w:id="0">
    <w:p w14:paraId="01D2BC29" w14:textId="77777777" w:rsidR="009F24A9" w:rsidRDefault="009F24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A3736" w14:textId="77777777" w:rsidR="001918D0" w:rsidRDefault="00773F1F">
    <w:pPr>
      <w:jc w:val="right"/>
      <w:rPr>
        <w:lang w:val="en-GB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DBE929C" wp14:editId="07777777">
          <wp:simplePos x="0" y="0"/>
          <wp:positionH relativeFrom="column">
            <wp:posOffset>-177165</wp:posOffset>
          </wp:positionH>
          <wp:positionV relativeFrom="paragraph">
            <wp:posOffset>92075</wp:posOffset>
          </wp:positionV>
          <wp:extent cx="1652270" cy="483870"/>
          <wp:effectExtent l="0" t="0" r="0" b="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inline distT="0" distB="0" distL="0" distR="0" wp14:anchorId="3749D8A6" wp14:editId="07777777">
          <wp:extent cx="1104900" cy="466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Tekstgownyzpunktator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3046D06"/>
    <w:multiLevelType w:val="hybridMultilevel"/>
    <w:tmpl w:val="9588EB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35278"/>
    <w:multiLevelType w:val="hybridMultilevel"/>
    <w:tmpl w:val="CBA2B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94D2A"/>
    <w:multiLevelType w:val="hybridMultilevel"/>
    <w:tmpl w:val="9F564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F1D22"/>
    <w:multiLevelType w:val="hybridMultilevel"/>
    <w:tmpl w:val="48B0F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67154"/>
    <w:multiLevelType w:val="hybridMultilevel"/>
    <w:tmpl w:val="A07AE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F2B31"/>
    <w:multiLevelType w:val="hybridMultilevel"/>
    <w:tmpl w:val="497ED8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F72A8"/>
    <w:multiLevelType w:val="hybridMultilevel"/>
    <w:tmpl w:val="BE3A57D8"/>
    <w:lvl w:ilvl="0" w:tplc="8A8CA5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6EEE"/>
    <w:multiLevelType w:val="hybridMultilevel"/>
    <w:tmpl w:val="BEBA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018EC"/>
    <w:multiLevelType w:val="multilevel"/>
    <w:tmpl w:val="7270D4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650C3F"/>
    <w:multiLevelType w:val="hybridMultilevel"/>
    <w:tmpl w:val="B8760E64"/>
    <w:lvl w:ilvl="0" w:tplc="642AF8A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B7CAC"/>
    <w:multiLevelType w:val="hybridMultilevel"/>
    <w:tmpl w:val="5EFA3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A4AEE"/>
    <w:multiLevelType w:val="hybridMultilevel"/>
    <w:tmpl w:val="E8ACB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34417">
    <w:abstractNumId w:val="0"/>
  </w:num>
  <w:num w:numId="2" w16cid:durableId="1317146264">
    <w:abstractNumId w:val="1"/>
  </w:num>
  <w:num w:numId="3" w16cid:durableId="352652582">
    <w:abstractNumId w:val="12"/>
  </w:num>
  <w:num w:numId="4" w16cid:durableId="185021217">
    <w:abstractNumId w:val="2"/>
  </w:num>
  <w:num w:numId="5" w16cid:durableId="1112288002">
    <w:abstractNumId w:val="6"/>
  </w:num>
  <w:num w:numId="6" w16cid:durableId="909123398">
    <w:abstractNumId w:val="8"/>
  </w:num>
  <w:num w:numId="7" w16cid:durableId="471602004">
    <w:abstractNumId w:val="3"/>
  </w:num>
  <w:num w:numId="8" w16cid:durableId="847403013">
    <w:abstractNumId w:val="4"/>
  </w:num>
  <w:num w:numId="9" w16cid:durableId="1927419365">
    <w:abstractNumId w:val="11"/>
  </w:num>
  <w:num w:numId="10" w16cid:durableId="510026624">
    <w:abstractNumId w:val="9"/>
  </w:num>
  <w:num w:numId="11" w16cid:durableId="1661420700">
    <w:abstractNumId w:val="7"/>
  </w:num>
  <w:num w:numId="12" w16cid:durableId="1455632973">
    <w:abstractNumId w:val="10"/>
  </w:num>
  <w:num w:numId="13" w16cid:durableId="2006277424">
    <w:abstractNumId w:val="5"/>
  </w:num>
  <w:num w:numId="14" w16cid:durableId="13635082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5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73"/>
    <w:rsid w:val="000005D1"/>
    <w:rsid w:val="00001D69"/>
    <w:rsid w:val="000037CA"/>
    <w:rsid w:val="00007AB3"/>
    <w:rsid w:val="00010629"/>
    <w:rsid w:val="00011192"/>
    <w:rsid w:val="000202DE"/>
    <w:rsid w:val="0003668C"/>
    <w:rsid w:val="00036F97"/>
    <w:rsid w:val="00041CB1"/>
    <w:rsid w:val="00042231"/>
    <w:rsid w:val="00043B80"/>
    <w:rsid w:val="00046571"/>
    <w:rsid w:val="00047178"/>
    <w:rsid w:val="000516C5"/>
    <w:rsid w:val="00054D80"/>
    <w:rsid w:val="00057687"/>
    <w:rsid w:val="00062373"/>
    <w:rsid w:val="00070B5C"/>
    <w:rsid w:val="00071C2C"/>
    <w:rsid w:val="00072DDE"/>
    <w:rsid w:val="0007395D"/>
    <w:rsid w:val="00076F97"/>
    <w:rsid w:val="00094449"/>
    <w:rsid w:val="00096B12"/>
    <w:rsid w:val="000A1667"/>
    <w:rsid w:val="000A7C53"/>
    <w:rsid w:val="000B0A43"/>
    <w:rsid w:val="000B495B"/>
    <w:rsid w:val="000C0D87"/>
    <w:rsid w:val="000C5B59"/>
    <w:rsid w:val="000D01B9"/>
    <w:rsid w:val="000D1CD0"/>
    <w:rsid w:val="000F049B"/>
    <w:rsid w:val="000F1F9B"/>
    <w:rsid w:val="000F285D"/>
    <w:rsid w:val="000F3070"/>
    <w:rsid w:val="000F4B75"/>
    <w:rsid w:val="000F4D27"/>
    <w:rsid w:val="000F6A05"/>
    <w:rsid w:val="001027ED"/>
    <w:rsid w:val="001047E8"/>
    <w:rsid w:val="00106445"/>
    <w:rsid w:val="001111D9"/>
    <w:rsid w:val="00117195"/>
    <w:rsid w:val="00122A25"/>
    <w:rsid w:val="00122D3F"/>
    <w:rsid w:val="00122F7E"/>
    <w:rsid w:val="00126FD7"/>
    <w:rsid w:val="0013407A"/>
    <w:rsid w:val="00136F20"/>
    <w:rsid w:val="00141466"/>
    <w:rsid w:val="00146AEB"/>
    <w:rsid w:val="00151304"/>
    <w:rsid w:val="001521B3"/>
    <w:rsid w:val="00152AC2"/>
    <w:rsid w:val="00153A07"/>
    <w:rsid w:val="00162B08"/>
    <w:rsid w:val="001735AE"/>
    <w:rsid w:val="00173FBD"/>
    <w:rsid w:val="001807C2"/>
    <w:rsid w:val="00180A64"/>
    <w:rsid w:val="00180FFF"/>
    <w:rsid w:val="00181BCF"/>
    <w:rsid w:val="00186205"/>
    <w:rsid w:val="00186EAA"/>
    <w:rsid w:val="001873D6"/>
    <w:rsid w:val="00187FBA"/>
    <w:rsid w:val="00190838"/>
    <w:rsid w:val="001918D0"/>
    <w:rsid w:val="001A10E6"/>
    <w:rsid w:val="001A134C"/>
    <w:rsid w:val="001A177D"/>
    <w:rsid w:val="001A2DD1"/>
    <w:rsid w:val="001A3C9F"/>
    <w:rsid w:val="001B2E3F"/>
    <w:rsid w:val="001B3B28"/>
    <w:rsid w:val="001C7FE1"/>
    <w:rsid w:val="001D1578"/>
    <w:rsid w:val="001E0E70"/>
    <w:rsid w:val="001E72D3"/>
    <w:rsid w:val="001EC74A"/>
    <w:rsid w:val="001F4910"/>
    <w:rsid w:val="0020153B"/>
    <w:rsid w:val="0020369C"/>
    <w:rsid w:val="00205212"/>
    <w:rsid w:val="002063C4"/>
    <w:rsid w:val="00212269"/>
    <w:rsid w:val="002135F5"/>
    <w:rsid w:val="00221B3A"/>
    <w:rsid w:val="00227451"/>
    <w:rsid w:val="00227789"/>
    <w:rsid w:val="00236512"/>
    <w:rsid w:val="00240D4C"/>
    <w:rsid w:val="002410C3"/>
    <w:rsid w:val="00251070"/>
    <w:rsid w:val="00254FCF"/>
    <w:rsid w:val="00256268"/>
    <w:rsid w:val="0025647D"/>
    <w:rsid w:val="00257935"/>
    <w:rsid w:val="00261A9E"/>
    <w:rsid w:val="002642F2"/>
    <w:rsid w:val="00264659"/>
    <w:rsid w:val="00264D2B"/>
    <w:rsid w:val="00264F53"/>
    <w:rsid w:val="00266920"/>
    <w:rsid w:val="00270AE2"/>
    <w:rsid w:val="0027366A"/>
    <w:rsid w:val="00273723"/>
    <w:rsid w:val="00273A43"/>
    <w:rsid w:val="00273B0D"/>
    <w:rsid w:val="002811CC"/>
    <w:rsid w:val="00282196"/>
    <w:rsid w:val="0028647F"/>
    <w:rsid w:val="00287EED"/>
    <w:rsid w:val="0029226A"/>
    <w:rsid w:val="00295820"/>
    <w:rsid w:val="002978F0"/>
    <w:rsid w:val="002978FC"/>
    <w:rsid w:val="002A2A8E"/>
    <w:rsid w:val="002A6C8D"/>
    <w:rsid w:val="002B2F50"/>
    <w:rsid w:val="002B36A5"/>
    <w:rsid w:val="002B4B0E"/>
    <w:rsid w:val="002B4CD3"/>
    <w:rsid w:val="002C401C"/>
    <w:rsid w:val="002C6057"/>
    <w:rsid w:val="002D1615"/>
    <w:rsid w:val="002D261E"/>
    <w:rsid w:val="002D5BBE"/>
    <w:rsid w:val="002D7BA2"/>
    <w:rsid w:val="002E3F37"/>
    <w:rsid w:val="002F108E"/>
    <w:rsid w:val="002F22A0"/>
    <w:rsid w:val="0030213C"/>
    <w:rsid w:val="003056B9"/>
    <w:rsid w:val="00310C2C"/>
    <w:rsid w:val="00315479"/>
    <w:rsid w:val="0032491B"/>
    <w:rsid w:val="00326D66"/>
    <w:rsid w:val="00330149"/>
    <w:rsid w:val="00337A53"/>
    <w:rsid w:val="00340786"/>
    <w:rsid w:val="003468C1"/>
    <w:rsid w:val="00346C2F"/>
    <w:rsid w:val="0035102E"/>
    <w:rsid w:val="0035216A"/>
    <w:rsid w:val="003572C5"/>
    <w:rsid w:val="00357747"/>
    <w:rsid w:val="00357C86"/>
    <w:rsid w:val="00363A53"/>
    <w:rsid w:val="00366931"/>
    <w:rsid w:val="00367725"/>
    <w:rsid w:val="003751FE"/>
    <w:rsid w:val="003771AA"/>
    <w:rsid w:val="003801FF"/>
    <w:rsid w:val="003815A1"/>
    <w:rsid w:val="003902F4"/>
    <w:rsid w:val="003936CD"/>
    <w:rsid w:val="00393954"/>
    <w:rsid w:val="00397950"/>
    <w:rsid w:val="003A249E"/>
    <w:rsid w:val="003A2CCE"/>
    <w:rsid w:val="003A4504"/>
    <w:rsid w:val="003A6558"/>
    <w:rsid w:val="003A768E"/>
    <w:rsid w:val="003B2C42"/>
    <w:rsid w:val="003B3D24"/>
    <w:rsid w:val="003B453C"/>
    <w:rsid w:val="003B724D"/>
    <w:rsid w:val="003B7E34"/>
    <w:rsid w:val="003C38DA"/>
    <w:rsid w:val="003D062E"/>
    <w:rsid w:val="003D0E37"/>
    <w:rsid w:val="003D2906"/>
    <w:rsid w:val="003D3AE2"/>
    <w:rsid w:val="003D3F1E"/>
    <w:rsid w:val="003D783E"/>
    <w:rsid w:val="003D7EE7"/>
    <w:rsid w:val="003E351A"/>
    <w:rsid w:val="003E3A99"/>
    <w:rsid w:val="003E3FD9"/>
    <w:rsid w:val="003E52E2"/>
    <w:rsid w:val="003E7BC3"/>
    <w:rsid w:val="003F0720"/>
    <w:rsid w:val="003F386D"/>
    <w:rsid w:val="003F3CFD"/>
    <w:rsid w:val="003F618E"/>
    <w:rsid w:val="003F78D5"/>
    <w:rsid w:val="004002A4"/>
    <w:rsid w:val="00403709"/>
    <w:rsid w:val="004123E3"/>
    <w:rsid w:val="00414309"/>
    <w:rsid w:val="004156CD"/>
    <w:rsid w:val="00421771"/>
    <w:rsid w:val="00425669"/>
    <w:rsid w:val="0042759F"/>
    <w:rsid w:val="0043028C"/>
    <w:rsid w:val="0043132F"/>
    <w:rsid w:val="004313EC"/>
    <w:rsid w:val="00433E4F"/>
    <w:rsid w:val="0043464E"/>
    <w:rsid w:val="00442FF6"/>
    <w:rsid w:val="00443918"/>
    <w:rsid w:val="00460527"/>
    <w:rsid w:val="004623D1"/>
    <w:rsid w:val="00462682"/>
    <w:rsid w:val="0046504E"/>
    <w:rsid w:val="00465B24"/>
    <w:rsid w:val="00466CB8"/>
    <w:rsid w:val="0046793F"/>
    <w:rsid w:val="00467BED"/>
    <w:rsid w:val="004706C4"/>
    <w:rsid w:val="00470CB3"/>
    <w:rsid w:val="0047458A"/>
    <w:rsid w:val="00484510"/>
    <w:rsid w:val="004849FF"/>
    <w:rsid w:val="0049027F"/>
    <w:rsid w:val="0049441A"/>
    <w:rsid w:val="00497BFC"/>
    <w:rsid w:val="004A3848"/>
    <w:rsid w:val="004A5507"/>
    <w:rsid w:val="004B051A"/>
    <w:rsid w:val="004B4415"/>
    <w:rsid w:val="004B4991"/>
    <w:rsid w:val="004B6130"/>
    <w:rsid w:val="004C0FC1"/>
    <w:rsid w:val="004D28E8"/>
    <w:rsid w:val="004D2A7E"/>
    <w:rsid w:val="004D3EAD"/>
    <w:rsid w:val="004D5238"/>
    <w:rsid w:val="004D7009"/>
    <w:rsid w:val="004E1F9E"/>
    <w:rsid w:val="004E2617"/>
    <w:rsid w:val="004E594D"/>
    <w:rsid w:val="004F6C8A"/>
    <w:rsid w:val="005008A0"/>
    <w:rsid w:val="00503953"/>
    <w:rsid w:val="00505348"/>
    <w:rsid w:val="00522FD5"/>
    <w:rsid w:val="0052585E"/>
    <w:rsid w:val="0052778E"/>
    <w:rsid w:val="0052796B"/>
    <w:rsid w:val="00530E73"/>
    <w:rsid w:val="00531129"/>
    <w:rsid w:val="00533708"/>
    <w:rsid w:val="005344C4"/>
    <w:rsid w:val="005345EE"/>
    <w:rsid w:val="005412BE"/>
    <w:rsid w:val="0054246E"/>
    <w:rsid w:val="00543A30"/>
    <w:rsid w:val="00543C39"/>
    <w:rsid w:val="00551F70"/>
    <w:rsid w:val="00552344"/>
    <w:rsid w:val="00556C81"/>
    <w:rsid w:val="005645F4"/>
    <w:rsid w:val="00564DC2"/>
    <w:rsid w:val="00565CBF"/>
    <w:rsid w:val="005679A0"/>
    <w:rsid w:val="00570ECD"/>
    <w:rsid w:val="00581013"/>
    <w:rsid w:val="005836E3"/>
    <w:rsid w:val="00584C55"/>
    <w:rsid w:val="00586BB3"/>
    <w:rsid w:val="0058756C"/>
    <w:rsid w:val="00592A16"/>
    <w:rsid w:val="005960D1"/>
    <w:rsid w:val="00596B1E"/>
    <w:rsid w:val="00597167"/>
    <w:rsid w:val="005B062D"/>
    <w:rsid w:val="005B286F"/>
    <w:rsid w:val="005B3920"/>
    <w:rsid w:val="005B52D4"/>
    <w:rsid w:val="005B54AA"/>
    <w:rsid w:val="005B6F60"/>
    <w:rsid w:val="005C0835"/>
    <w:rsid w:val="005C0D2F"/>
    <w:rsid w:val="005C0D48"/>
    <w:rsid w:val="005C1510"/>
    <w:rsid w:val="005C296C"/>
    <w:rsid w:val="005C6913"/>
    <w:rsid w:val="005D19A1"/>
    <w:rsid w:val="005D25FD"/>
    <w:rsid w:val="005D40D1"/>
    <w:rsid w:val="005D523D"/>
    <w:rsid w:val="005D6053"/>
    <w:rsid w:val="005E458C"/>
    <w:rsid w:val="005E6291"/>
    <w:rsid w:val="005F025D"/>
    <w:rsid w:val="005F05B0"/>
    <w:rsid w:val="005F4BE7"/>
    <w:rsid w:val="005F7CB8"/>
    <w:rsid w:val="00601AC6"/>
    <w:rsid w:val="00602BF8"/>
    <w:rsid w:val="00603510"/>
    <w:rsid w:val="00605EBB"/>
    <w:rsid w:val="00615A81"/>
    <w:rsid w:val="00625B32"/>
    <w:rsid w:val="00626103"/>
    <w:rsid w:val="00626E0D"/>
    <w:rsid w:val="00633886"/>
    <w:rsid w:val="00633F21"/>
    <w:rsid w:val="006357A1"/>
    <w:rsid w:val="00640BE1"/>
    <w:rsid w:val="00640BE7"/>
    <w:rsid w:val="00640D20"/>
    <w:rsid w:val="0064747B"/>
    <w:rsid w:val="00651486"/>
    <w:rsid w:val="00651CDC"/>
    <w:rsid w:val="00652333"/>
    <w:rsid w:val="00664CA7"/>
    <w:rsid w:val="006651CD"/>
    <w:rsid w:val="00666066"/>
    <w:rsid w:val="00671B2F"/>
    <w:rsid w:val="00675442"/>
    <w:rsid w:val="00677979"/>
    <w:rsid w:val="006844B0"/>
    <w:rsid w:val="0068601B"/>
    <w:rsid w:val="00686719"/>
    <w:rsid w:val="0068706F"/>
    <w:rsid w:val="00695879"/>
    <w:rsid w:val="006A455D"/>
    <w:rsid w:val="006B15C4"/>
    <w:rsid w:val="006C0B18"/>
    <w:rsid w:val="006C6115"/>
    <w:rsid w:val="006C76CD"/>
    <w:rsid w:val="006C796B"/>
    <w:rsid w:val="006C797B"/>
    <w:rsid w:val="006D0897"/>
    <w:rsid w:val="006D0BAE"/>
    <w:rsid w:val="006D28FC"/>
    <w:rsid w:val="006D3C7A"/>
    <w:rsid w:val="006E798D"/>
    <w:rsid w:val="007070AA"/>
    <w:rsid w:val="00711F31"/>
    <w:rsid w:val="00716A31"/>
    <w:rsid w:val="00721C53"/>
    <w:rsid w:val="0072401B"/>
    <w:rsid w:val="007305B2"/>
    <w:rsid w:val="00730AA4"/>
    <w:rsid w:val="00731F0E"/>
    <w:rsid w:val="0073454F"/>
    <w:rsid w:val="00736FC0"/>
    <w:rsid w:val="00740B7D"/>
    <w:rsid w:val="00740EC4"/>
    <w:rsid w:val="00747784"/>
    <w:rsid w:val="007546D4"/>
    <w:rsid w:val="00754F54"/>
    <w:rsid w:val="00755B62"/>
    <w:rsid w:val="0075762F"/>
    <w:rsid w:val="0076036A"/>
    <w:rsid w:val="00761AFB"/>
    <w:rsid w:val="0076536B"/>
    <w:rsid w:val="007678B2"/>
    <w:rsid w:val="00773079"/>
    <w:rsid w:val="00773F1F"/>
    <w:rsid w:val="007750E2"/>
    <w:rsid w:val="00782CF5"/>
    <w:rsid w:val="00790707"/>
    <w:rsid w:val="00793103"/>
    <w:rsid w:val="007A1387"/>
    <w:rsid w:val="007A4B8F"/>
    <w:rsid w:val="007A6C72"/>
    <w:rsid w:val="007B4BF3"/>
    <w:rsid w:val="007B55B9"/>
    <w:rsid w:val="007C16EE"/>
    <w:rsid w:val="007D1A89"/>
    <w:rsid w:val="007D487E"/>
    <w:rsid w:val="007D603D"/>
    <w:rsid w:val="007D6637"/>
    <w:rsid w:val="007D72AE"/>
    <w:rsid w:val="007E5049"/>
    <w:rsid w:val="007E5860"/>
    <w:rsid w:val="007E7294"/>
    <w:rsid w:val="007F608A"/>
    <w:rsid w:val="008008C2"/>
    <w:rsid w:val="008009E7"/>
    <w:rsid w:val="00817379"/>
    <w:rsid w:val="00824A58"/>
    <w:rsid w:val="0083024F"/>
    <w:rsid w:val="008308DD"/>
    <w:rsid w:val="00831408"/>
    <w:rsid w:val="00832F03"/>
    <w:rsid w:val="00833932"/>
    <w:rsid w:val="00833E55"/>
    <w:rsid w:val="00835E56"/>
    <w:rsid w:val="00836F62"/>
    <w:rsid w:val="008506B4"/>
    <w:rsid w:val="00853AF9"/>
    <w:rsid w:val="00861ED4"/>
    <w:rsid w:val="00867B22"/>
    <w:rsid w:val="00867CC7"/>
    <w:rsid w:val="008721D4"/>
    <w:rsid w:val="0087572C"/>
    <w:rsid w:val="0088272A"/>
    <w:rsid w:val="0088516E"/>
    <w:rsid w:val="00891813"/>
    <w:rsid w:val="00893559"/>
    <w:rsid w:val="008936EC"/>
    <w:rsid w:val="008A13F4"/>
    <w:rsid w:val="008A282D"/>
    <w:rsid w:val="008A458B"/>
    <w:rsid w:val="008A6DA4"/>
    <w:rsid w:val="008B1396"/>
    <w:rsid w:val="008B254E"/>
    <w:rsid w:val="008B4D20"/>
    <w:rsid w:val="008B5505"/>
    <w:rsid w:val="008B5519"/>
    <w:rsid w:val="008C2927"/>
    <w:rsid w:val="008C2BEF"/>
    <w:rsid w:val="008C35A5"/>
    <w:rsid w:val="008D1676"/>
    <w:rsid w:val="008D7A7E"/>
    <w:rsid w:val="008E1D84"/>
    <w:rsid w:val="008E3389"/>
    <w:rsid w:val="008E5449"/>
    <w:rsid w:val="008E5D35"/>
    <w:rsid w:val="008E749B"/>
    <w:rsid w:val="008F05A0"/>
    <w:rsid w:val="008F2A60"/>
    <w:rsid w:val="008F6FDD"/>
    <w:rsid w:val="00902FA3"/>
    <w:rsid w:val="00903E58"/>
    <w:rsid w:val="00905FDC"/>
    <w:rsid w:val="00906348"/>
    <w:rsid w:val="00906C09"/>
    <w:rsid w:val="0092191F"/>
    <w:rsid w:val="00922D9A"/>
    <w:rsid w:val="00923EFA"/>
    <w:rsid w:val="0093311A"/>
    <w:rsid w:val="00933B55"/>
    <w:rsid w:val="00940D6D"/>
    <w:rsid w:val="00946CAC"/>
    <w:rsid w:val="009524CB"/>
    <w:rsid w:val="009529AE"/>
    <w:rsid w:val="00952F40"/>
    <w:rsid w:val="00952F8D"/>
    <w:rsid w:val="00955487"/>
    <w:rsid w:val="009604AC"/>
    <w:rsid w:val="00961074"/>
    <w:rsid w:val="00963333"/>
    <w:rsid w:val="009675CF"/>
    <w:rsid w:val="00971DF1"/>
    <w:rsid w:val="009743E7"/>
    <w:rsid w:val="009754F6"/>
    <w:rsid w:val="009767C3"/>
    <w:rsid w:val="00977A8B"/>
    <w:rsid w:val="00983B6C"/>
    <w:rsid w:val="009851CF"/>
    <w:rsid w:val="0098773F"/>
    <w:rsid w:val="0099062E"/>
    <w:rsid w:val="009968BD"/>
    <w:rsid w:val="009972DC"/>
    <w:rsid w:val="009B1D65"/>
    <w:rsid w:val="009B753D"/>
    <w:rsid w:val="009C29FE"/>
    <w:rsid w:val="009D2C5D"/>
    <w:rsid w:val="009D48B0"/>
    <w:rsid w:val="009D598F"/>
    <w:rsid w:val="009D59D0"/>
    <w:rsid w:val="009D6B46"/>
    <w:rsid w:val="009E0E92"/>
    <w:rsid w:val="009E3428"/>
    <w:rsid w:val="009E47D1"/>
    <w:rsid w:val="009F24A9"/>
    <w:rsid w:val="009F58C1"/>
    <w:rsid w:val="009F7883"/>
    <w:rsid w:val="00A0216E"/>
    <w:rsid w:val="00A05C1C"/>
    <w:rsid w:val="00A12B78"/>
    <w:rsid w:val="00A20292"/>
    <w:rsid w:val="00A20D62"/>
    <w:rsid w:val="00A216BF"/>
    <w:rsid w:val="00A21C3A"/>
    <w:rsid w:val="00A234F0"/>
    <w:rsid w:val="00A24CDB"/>
    <w:rsid w:val="00A26456"/>
    <w:rsid w:val="00A2654F"/>
    <w:rsid w:val="00A27243"/>
    <w:rsid w:val="00A30504"/>
    <w:rsid w:val="00A34694"/>
    <w:rsid w:val="00A37A36"/>
    <w:rsid w:val="00A37E6F"/>
    <w:rsid w:val="00A42154"/>
    <w:rsid w:val="00A43979"/>
    <w:rsid w:val="00A43C3C"/>
    <w:rsid w:val="00A44D6F"/>
    <w:rsid w:val="00A453C8"/>
    <w:rsid w:val="00A51429"/>
    <w:rsid w:val="00A5230B"/>
    <w:rsid w:val="00A606FE"/>
    <w:rsid w:val="00A613D0"/>
    <w:rsid w:val="00A6266F"/>
    <w:rsid w:val="00A64A36"/>
    <w:rsid w:val="00A7069D"/>
    <w:rsid w:val="00A74A81"/>
    <w:rsid w:val="00A74FFD"/>
    <w:rsid w:val="00A91EA2"/>
    <w:rsid w:val="00AA0DC4"/>
    <w:rsid w:val="00AA3017"/>
    <w:rsid w:val="00AA338E"/>
    <w:rsid w:val="00AA56CA"/>
    <w:rsid w:val="00AB3D84"/>
    <w:rsid w:val="00AB7785"/>
    <w:rsid w:val="00AC462E"/>
    <w:rsid w:val="00AC574E"/>
    <w:rsid w:val="00AC6C8F"/>
    <w:rsid w:val="00AD0290"/>
    <w:rsid w:val="00AD13F7"/>
    <w:rsid w:val="00AD1B13"/>
    <w:rsid w:val="00AD42D0"/>
    <w:rsid w:val="00AE0E30"/>
    <w:rsid w:val="00AE1D3B"/>
    <w:rsid w:val="00AE4C93"/>
    <w:rsid w:val="00AF3558"/>
    <w:rsid w:val="00B000D7"/>
    <w:rsid w:val="00B01186"/>
    <w:rsid w:val="00B0182B"/>
    <w:rsid w:val="00B024AF"/>
    <w:rsid w:val="00B033FC"/>
    <w:rsid w:val="00B0620F"/>
    <w:rsid w:val="00B07C43"/>
    <w:rsid w:val="00B1070B"/>
    <w:rsid w:val="00B11EBA"/>
    <w:rsid w:val="00B1355A"/>
    <w:rsid w:val="00B1393D"/>
    <w:rsid w:val="00B1444C"/>
    <w:rsid w:val="00B16515"/>
    <w:rsid w:val="00B21D07"/>
    <w:rsid w:val="00B21ED4"/>
    <w:rsid w:val="00B25AFE"/>
    <w:rsid w:val="00B265D1"/>
    <w:rsid w:val="00B3032C"/>
    <w:rsid w:val="00B30560"/>
    <w:rsid w:val="00B32C3B"/>
    <w:rsid w:val="00B361EA"/>
    <w:rsid w:val="00B46744"/>
    <w:rsid w:val="00B505C1"/>
    <w:rsid w:val="00B563F7"/>
    <w:rsid w:val="00B61360"/>
    <w:rsid w:val="00B627D8"/>
    <w:rsid w:val="00B64F8B"/>
    <w:rsid w:val="00B65B5B"/>
    <w:rsid w:val="00B66C52"/>
    <w:rsid w:val="00B70630"/>
    <w:rsid w:val="00B71A54"/>
    <w:rsid w:val="00B74C47"/>
    <w:rsid w:val="00B750D6"/>
    <w:rsid w:val="00B81717"/>
    <w:rsid w:val="00B91E51"/>
    <w:rsid w:val="00BA3F49"/>
    <w:rsid w:val="00BA5C8D"/>
    <w:rsid w:val="00BA682A"/>
    <w:rsid w:val="00BB15FD"/>
    <w:rsid w:val="00BB7580"/>
    <w:rsid w:val="00BC4144"/>
    <w:rsid w:val="00BD13E1"/>
    <w:rsid w:val="00BD1BE9"/>
    <w:rsid w:val="00BD37EC"/>
    <w:rsid w:val="00BD43C6"/>
    <w:rsid w:val="00BD6881"/>
    <w:rsid w:val="00BD6ED4"/>
    <w:rsid w:val="00BD758B"/>
    <w:rsid w:val="00BD75E6"/>
    <w:rsid w:val="00BE05F7"/>
    <w:rsid w:val="00BE1310"/>
    <w:rsid w:val="00BE147C"/>
    <w:rsid w:val="00BE4BF7"/>
    <w:rsid w:val="00BF252C"/>
    <w:rsid w:val="00BF313C"/>
    <w:rsid w:val="00BF4442"/>
    <w:rsid w:val="00BF6DDF"/>
    <w:rsid w:val="00C14ECE"/>
    <w:rsid w:val="00C202A6"/>
    <w:rsid w:val="00C20818"/>
    <w:rsid w:val="00C2340F"/>
    <w:rsid w:val="00C2757E"/>
    <w:rsid w:val="00C325CC"/>
    <w:rsid w:val="00C32B6D"/>
    <w:rsid w:val="00C4352A"/>
    <w:rsid w:val="00C462F7"/>
    <w:rsid w:val="00C54C65"/>
    <w:rsid w:val="00C6471D"/>
    <w:rsid w:val="00C64CA1"/>
    <w:rsid w:val="00C70055"/>
    <w:rsid w:val="00C71AF3"/>
    <w:rsid w:val="00C76631"/>
    <w:rsid w:val="00C84A19"/>
    <w:rsid w:val="00C91B01"/>
    <w:rsid w:val="00CA1A27"/>
    <w:rsid w:val="00CA3AFC"/>
    <w:rsid w:val="00CA6B02"/>
    <w:rsid w:val="00CB167D"/>
    <w:rsid w:val="00CB39EE"/>
    <w:rsid w:val="00CB409B"/>
    <w:rsid w:val="00CB6D13"/>
    <w:rsid w:val="00CC5BF9"/>
    <w:rsid w:val="00CC6A57"/>
    <w:rsid w:val="00CD4A45"/>
    <w:rsid w:val="00CE3A9C"/>
    <w:rsid w:val="00CF13A9"/>
    <w:rsid w:val="00CF333E"/>
    <w:rsid w:val="00D00B56"/>
    <w:rsid w:val="00D05428"/>
    <w:rsid w:val="00D113F3"/>
    <w:rsid w:val="00D1140C"/>
    <w:rsid w:val="00D15EDA"/>
    <w:rsid w:val="00D1F5D3"/>
    <w:rsid w:val="00D23089"/>
    <w:rsid w:val="00D24A5A"/>
    <w:rsid w:val="00D24F96"/>
    <w:rsid w:val="00D26C94"/>
    <w:rsid w:val="00D31BE5"/>
    <w:rsid w:val="00D32589"/>
    <w:rsid w:val="00D33576"/>
    <w:rsid w:val="00D34266"/>
    <w:rsid w:val="00D37E4D"/>
    <w:rsid w:val="00D37E75"/>
    <w:rsid w:val="00D422AD"/>
    <w:rsid w:val="00D6024E"/>
    <w:rsid w:val="00D616B6"/>
    <w:rsid w:val="00D63351"/>
    <w:rsid w:val="00D66356"/>
    <w:rsid w:val="00D6760B"/>
    <w:rsid w:val="00D71B32"/>
    <w:rsid w:val="00D74124"/>
    <w:rsid w:val="00D80CF0"/>
    <w:rsid w:val="00D90BAB"/>
    <w:rsid w:val="00D940C5"/>
    <w:rsid w:val="00D95E32"/>
    <w:rsid w:val="00DA0BAB"/>
    <w:rsid w:val="00DA1EAD"/>
    <w:rsid w:val="00DB13EC"/>
    <w:rsid w:val="00DB2007"/>
    <w:rsid w:val="00DB6BAC"/>
    <w:rsid w:val="00DB7500"/>
    <w:rsid w:val="00DB7E2E"/>
    <w:rsid w:val="00DC046B"/>
    <w:rsid w:val="00DC4BD9"/>
    <w:rsid w:val="00DC7D7A"/>
    <w:rsid w:val="00DD06AE"/>
    <w:rsid w:val="00DD36CF"/>
    <w:rsid w:val="00DE01F1"/>
    <w:rsid w:val="00DE1EF6"/>
    <w:rsid w:val="00DF148C"/>
    <w:rsid w:val="00DF44B5"/>
    <w:rsid w:val="00DF62DD"/>
    <w:rsid w:val="00E016A9"/>
    <w:rsid w:val="00E07BFE"/>
    <w:rsid w:val="00E10BF2"/>
    <w:rsid w:val="00E1696F"/>
    <w:rsid w:val="00E17637"/>
    <w:rsid w:val="00E40AA1"/>
    <w:rsid w:val="00E40D85"/>
    <w:rsid w:val="00E412DA"/>
    <w:rsid w:val="00E42DBE"/>
    <w:rsid w:val="00E5164F"/>
    <w:rsid w:val="00E54B1C"/>
    <w:rsid w:val="00E56D1C"/>
    <w:rsid w:val="00E60E04"/>
    <w:rsid w:val="00E63007"/>
    <w:rsid w:val="00E66EC7"/>
    <w:rsid w:val="00E71020"/>
    <w:rsid w:val="00E7204E"/>
    <w:rsid w:val="00E72825"/>
    <w:rsid w:val="00E76677"/>
    <w:rsid w:val="00E806A0"/>
    <w:rsid w:val="00E818F0"/>
    <w:rsid w:val="00E83385"/>
    <w:rsid w:val="00E85844"/>
    <w:rsid w:val="00E8615E"/>
    <w:rsid w:val="00E9126B"/>
    <w:rsid w:val="00E918EA"/>
    <w:rsid w:val="00E94A04"/>
    <w:rsid w:val="00E9646F"/>
    <w:rsid w:val="00EA0A9C"/>
    <w:rsid w:val="00EB0D91"/>
    <w:rsid w:val="00EB1B17"/>
    <w:rsid w:val="00EB4A44"/>
    <w:rsid w:val="00EB4C09"/>
    <w:rsid w:val="00EB54CE"/>
    <w:rsid w:val="00EC440B"/>
    <w:rsid w:val="00EC47FE"/>
    <w:rsid w:val="00EC4859"/>
    <w:rsid w:val="00ED0709"/>
    <w:rsid w:val="00ED43DA"/>
    <w:rsid w:val="00EE443F"/>
    <w:rsid w:val="00EE449A"/>
    <w:rsid w:val="00EF375E"/>
    <w:rsid w:val="00EF5835"/>
    <w:rsid w:val="00EF69DE"/>
    <w:rsid w:val="00F01904"/>
    <w:rsid w:val="00F0657E"/>
    <w:rsid w:val="00F075FC"/>
    <w:rsid w:val="00F10AF6"/>
    <w:rsid w:val="00F22499"/>
    <w:rsid w:val="00F23A94"/>
    <w:rsid w:val="00F25418"/>
    <w:rsid w:val="00F255E6"/>
    <w:rsid w:val="00F26557"/>
    <w:rsid w:val="00F2799D"/>
    <w:rsid w:val="00F33139"/>
    <w:rsid w:val="00F338B7"/>
    <w:rsid w:val="00F45698"/>
    <w:rsid w:val="00F462AB"/>
    <w:rsid w:val="00F46FBD"/>
    <w:rsid w:val="00F66569"/>
    <w:rsid w:val="00F66DB1"/>
    <w:rsid w:val="00F674EF"/>
    <w:rsid w:val="00F70096"/>
    <w:rsid w:val="00F74AE2"/>
    <w:rsid w:val="00F75ED0"/>
    <w:rsid w:val="00F83F5C"/>
    <w:rsid w:val="00F90AD9"/>
    <w:rsid w:val="00F928B1"/>
    <w:rsid w:val="00FA6D88"/>
    <w:rsid w:val="00FB2180"/>
    <w:rsid w:val="00FB346B"/>
    <w:rsid w:val="00FB4B27"/>
    <w:rsid w:val="00FB61F8"/>
    <w:rsid w:val="00FC0BC4"/>
    <w:rsid w:val="00FC20C4"/>
    <w:rsid w:val="00FC3B35"/>
    <w:rsid w:val="00FC6D2B"/>
    <w:rsid w:val="00FC7260"/>
    <w:rsid w:val="00FC7848"/>
    <w:rsid w:val="00FD2F00"/>
    <w:rsid w:val="00FD4904"/>
    <w:rsid w:val="00FD4FE1"/>
    <w:rsid w:val="00FE40D1"/>
    <w:rsid w:val="00FE557E"/>
    <w:rsid w:val="00FF3AF5"/>
    <w:rsid w:val="00FF6F63"/>
    <w:rsid w:val="011CE51A"/>
    <w:rsid w:val="01625530"/>
    <w:rsid w:val="01D7D05A"/>
    <w:rsid w:val="0299393E"/>
    <w:rsid w:val="02A66FEE"/>
    <w:rsid w:val="03A095E2"/>
    <w:rsid w:val="03B24F7E"/>
    <w:rsid w:val="047F8DC7"/>
    <w:rsid w:val="0555EB45"/>
    <w:rsid w:val="05F24499"/>
    <w:rsid w:val="0646002A"/>
    <w:rsid w:val="06CC70B2"/>
    <w:rsid w:val="077B4576"/>
    <w:rsid w:val="07AE4984"/>
    <w:rsid w:val="08222E45"/>
    <w:rsid w:val="08457A45"/>
    <w:rsid w:val="09003264"/>
    <w:rsid w:val="09614A4F"/>
    <w:rsid w:val="09833C51"/>
    <w:rsid w:val="0B2C5E59"/>
    <w:rsid w:val="0C4820AF"/>
    <w:rsid w:val="0C9498C3"/>
    <w:rsid w:val="0D41EF63"/>
    <w:rsid w:val="0E865B30"/>
    <w:rsid w:val="0ECDA285"/>
    <w:rsid w:val="0FE1F0E3"/>
    <w:rsid w:val="113018B1"/>
    <w:rsid w:val="1144A4E6"/>
    <w:rsid w:val="115003BE"/>
    <w:rsid w:val="1194FD49"/>
    <w:rsid w:val="12AB8F82"/>
    <w:rsid w:val="13FB37B3"/>
    <w:rsid w:val="13FCB88E"/>
    <w:rsid w:val="15A48421"/>
    <w:rsid w:val="17B56C85"/>
    <w:rsid w:val="17B5C4B5"/>
    <w:rsid w:val="1823DFEC"/>
    <w:rsid w:val="18792304"/>
    <w:rsid w:val="189EE8DE"/>
    <w:rsid w:val="1A2B9E6B"/>
    <w:rsid w:val="1B6DD380"/>
    <w:rsid w:val="1CED931B"/>
    <w:rsid w:val="1D58F0D4"/>
    <w:rsid w:val="1EA0C91F"/>
    <w:rsid w:val="1F701DE5"/>
    <w:rsid w:val="2293CD59"/>
    <w:rsid w:val="229A0F31"/>
    <w:rsid w:val="23554FFD"/>
    <w:rsid w:val="2390B820"/>
    <w:rsid w:val="23B7EA42"/>
    <w:rsid w:val="23D1AEF2"/>
    <w:rsid w:val="24672E5A"/>
    <w:rsid w:val="2500F7F6"/>
    <w:rsid w:val="258EC40B"/>
    <w:rsid w:val="25BA3E2B"/>
    <w:rsid w:val="25F5BDE6"/>
    <w:rsid w:val="2690AB52"/>
    <w:rsid w:val="269AC294"/>
    <w:rsid w:val="279CB277"/>
    <w:rsid w:val="27D2E6B9"/>
    <w:rsid w:val="28C4DD3E"/>
    <w:rsid w:val="28CC7898"/>
    <w:rsid w:val="29832CE0"/>
    <w:rsid w:val="29862F36"/>
    <w:rsid w:val="29E9A935"/>
    <w:rsid w:val="2A0A9F28"/>
    <w:rsid w:val="2BFE343C"/>
    <w:rsid w:val="2C527149"/>
    <w:rsid w:val="2EB92CB4"/>
    <w:rsid w:val="2EDA94B5"/>
    <w:rsid w:val="2F2D1CCD"/>
    <w:rsid w:val="312B0367"/>
    <w:rsid w:val="3273D43E"/>
    <w:rsid w:val="32972C1C"/>
    <w:rsid w:val="32B036B4"/>
    <w:rsid w:val="337D6F94"/>
    <w:rsid w:val="34BE530E"/>
    <w:rsid w:val="36293DEA"/>
    <w:rsid w:val="3715CAC9"/>
    <w:rsid w:val="379DEBAA"/>
    <w:rsid w:val="38C8DF71"/>
    <w:rsid w:val="38F905A2"/>
    <w:rsid w:val="3AD78DC5"/>
    <w:rsid w:val="3C29169E"/>
    <w:rsid w:val="3C9A5FA3"/>
    <w:rsid w:val="3CE35CBF"/>
    <w:rsid w:val="3DAFFA47"/>
    <w:rsid w:val="413A7FF5"/>
    <w:rsid w:val="430699E5"/>
    <w:rsid w:val="43AA970B"/>
    <w:rsid w:val="441E13C6"/>
    <w:rsid w:val="44582F2C"/>
    <w:rsid w:val="44AB72D0"/>
    <w:rsid w:val="4621FE22"/>
    <w:rsid w:val="47913B96"/>
    <w:rsid w:val="487DC937"/>
    <w:rsid w:val="48B48A12"/>
    <w:rsid w:val="4986AD10"/>
    <w:rsid w:val="49CCB680"/>
    <w:rsid w:val="4B84257D"/>
    <w:rsid w:val="4BF52716"/>
    <w:rsid w:val="4D48386F"/>
    <w:rsid w:val="4E2E7077"/>
    <w:rsid w:val="4F3AE735"/>
    <w:rsid w:val="4FE75495"/>
    <w:rsid w:val="4FE7EF23"/>
    <w:rsid w:val="5038FD25"/>
    <w:rsid w:val="50FE7B26"/>
    <w:rsid w:val="51270664"/>
    <w:rsid w:val="537A3B37"/>
    <w:rsid w:val="538EACEA"/>
    <w:rsid w:val="543441EA"/>
    <w:rsid w:val="54613914"/>
    <w:rsid w:val="55240F60"/>
    <w:rsid w:val="558A7E45"/>
    <w:rsid w:val="56416581"/>
    <w:rsid w:val="56AD6D9E"/>
    <w:rsid w:val="570BB0ED"/>
    <w:rsid w:val="572171E1"/>
    <w:rsid w:val="576EC1D0"/>
    <w:rsid w:val="59F3D7A1"/>
    <w:rsid w:val="5A7E6C07"/>
    <w:rsid w:val="5B8BBF48"/>
    <w:rsid w:val="5C04B338"/>
    <w:rsid w:val="5CA81956"/>
    <w:rsid w:val="5D019C06"/>
    <w:rsid w:val="5D26E18F"/>
    <w:rsid w:val="5DB7E42A"/>
    <w:rsid w:val="5E7C94BC"/>
    <w:rsid w:val="5FA8ABB2"/>
    <w:rsid w:val="60A7A8F1"/>
    <w:rsid w:val="60AED842"/>
    <w:rsid w:val="60B30375"/>
    <w:rsid w:val="620EFA03"/>
    <w:rsid w:val="6278E746"/>
    <w:rsid w:val="62C25E7C"/>
    <w:rsid w:val="644E55AE"/>
    <w:rsid w:val="663E6D83"/>
    <w:rsid w:val="68395EB1"/>
    <w:rsid w:val="68EB2E57"/>
    <w:rsid w:val="6A03EA2C"/>
    <w:rsid w:val="6AC44804"/>
    <w:rsid w:val="6AD86609"/>
    <w:rsid w:val="6C5F38E6"/>
    <w:rsid w:val="6C9731AB"/>
    <w:rsid w:val="6D7EF482"/>
    <w:rsid w:val="6E02E76D"/>
    <w:rsid w:val="6E323DBD"/>
    <w:rsid w:val="6EF26F85"/>
    <w:rsid w:val="700C5127"/>
    <w:rsid w:val="704D01B6"/>
    <w:rsid w:val="71C9951E"/>
    <w:rsid w:val="72756D1C"/>
    <w:rsid w:val="72996B91"/>
    <w:rsid w:val="72A6BF35"/>
    <w:rsid w:val="73675BAA"/>
    <w:rsid w:val="73EBBC84"/>
    <w:rsid w:val="73F214C9"/>
    <w:rsid w:val="74109663"/>
    <w:rsid w:val="74A79AFF"/>
    <w:rsid w:val="7519C305"/>
    <w:rsid w:val="76395DAD"/>
    <w:rsid w:val="76465FD9"/>
    <w:rsid w:val="76B8F99A"/>
    <w:rsid w:val="770B55A7"/>
    <w:rsid w:val="773DB7E2"/>
    <w:rsid w:val="786D6A03"/>
    <w:rsid w:val="78C78BEA"/>
    <w:rsid w:val="7920B141"/>
    <w:rsid w:val="79879831"/>
    <w:rsid w:val="79BACA9C"/>
    <w:rsid w:val="79FCC4A6"/>
    <w:rsid w:val="7AA0348E"/>
    <w:rsid w:val="7AD677E2"/>
    <w:rsid w:val="7BAE4A2D"/>
    <w:rsid w:val="7D1BC1A3"/>
    <w:rsid w:val="7EDD4C2D"/>
    <w:rsid w:val="7FBBC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0166458"/>
  <w15:chartTrackingRefBased/>
  <w15:docId w15:val="{8219A516-3826-4806-A3A8-2FA2956D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before="120" w:after="120" w:line="360" w:lineRule="auto"/>
      <w:jc w:val="both"/>
    </w:pPr>
    <w:rPr>
      <w:rFonts w:ascii="Thorndale" w:eastAsia="HG Mincho Light J" w:hAnsi="Thorndale" w:cs="Thorndale"/>
      <w:color w:val="000000"/>
      <w:sz w:val="24"/>
      <w:lang w:val="en-US"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after="240"/>
      <w:jc w:val="center"/>
      <w:outlineLvl w:val="0"/>
    </w:pPr>
    <w:rPr>
      <w:b/>
      <w:caps/>
      <w:sz w:val="32"/>
    </w:rPr>
  </w:style>
  <w:style w:type="paragraph" w:styleId="Nagwek2">
    <w:name w:val="heading 2"/>
    <w:basedOn w:val="WW-Heading"/>
    <w:next w:val="Tekstpodstawowy"/>
    <w:qFormat/>
    <w:pPr>
      <w:numPr>
        <w:ilvl w:val="1"/>
        <w:numId w:val="1"/>
      </w:numPr>
      <w:outlineLvl w:val="1"/>
    </w:pPr>
    <w:rPr>
      <w:rFonts w:ascii="Thorndale" w:hAnsi="Thorndale" w:cs="Thorndale"/>
      <w:b/>
      <w:sz w:val="36"/>
    </w:rPr>
  </w:style>
  <w:style w:type="paragraph" w:styleId="Nagwek3">
    <w:name w:val="heading 3"/>
    <w:basedOn w:val="Normalny"/>
    <w:next w:val="Normalny"/>
    <w:qFormat/>
    <w:pPr>
      <w:keepNext/>
      <w:keepLines/>
      <w:widowControl/>
      <w:suppressAutoHyphens w:val="0"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pl-PL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eastAsia="Times New Roman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  <w:sz w:val="20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eastAsia="Times New Roman" w:hAnsi="Symbol" w:cs="Times New Roman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  <w:sz w:val="20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Symbol" w:hAnsi="Symbol" w:cs="Symbol" w:hint="default"/>
      <w:sz w:val="20"/>
    </w:rPr>
  </w:style>
  <w:style w:type="character" w:customStyle="1" w:styleId="WW8Num17z1">
    <w:name w:val="WW8Num17z1"/>
    <w:rPr>
      <w:rFonts w:ascii="Courier New" w:hAnsi="Courier New" w:cs="Courier New" w:hint="default"/>
      <w:sz w:val="20"/>
    </w:rPr>
  </w:style>
  <w:style w:type="character" w:customStyle="1" w:styleId="WW8Num17z2">
    <w:name w:val="WW8Num17z2"/>
    <w:rPr>
      <w:rFonts w:ascii="Wingdings" w:hAnsi="Wingdings" w:cs="Wingdings" w:hint="default"/>
      <w:sz w:val="20"/>
    </w:rPr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omylnaczcionkaakapitu1">
    <w:name w:val="Domyślna czcionka akapitu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Domylnaczcionkaakapitu">
    <w:name w:val="WW-Domyślna czcionka akapitu"/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customStyle="1" w:styleId="WW-NumberingSymbols1">
    <w:name w:val="WW-Numbering Symbols1"/>
  </w:style>
  <w:style w:type="character" w:customStyle="1" w:styleId="WW-NumberingSymbols11">
    <w:name w:val="WW-Numbering Symbols11"/>
  </w:style>
  <w:style w:type="character" w:customStyle="1" w:styleId="WW-NumberingSymbols111">
    <w:name w:val="WW-Numbering Symbols111"/>
  </w:style>
  <w:style w:type="character" w:customStyle="1" w:styleId="WW-NumberingSymbols1111">
    <w:name w:val="WW-Numbering Symbols1111"/>
  </w:style>
  <w:style w:type="character" w:customStyle="1" w:styleId="BulletSymbols">
    <w:name w:val="Bullet Symbols"/>
    <w:rPr>
      <w:rFonts w:ascii="StarSymbol" w:eastAsia="StarSymbol" w:hAnsi="StarSymbol" w:cs="StarSymbol"/>
      <w:sz w:val="18"/>
    </w:rPr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uiPriority w:val="22"/>
    <w:qFormat/>
    <w:rPr>
      <w:b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NumberingSymbols11111">
    <w:name w:val="WW-Numbering Symbols11111"/>
  </w:style>
  <w:style w:type="character" w:customStyle="1" w:styleId="WW-NumberingSymbols111111">
    <w:name w:val="WW-Numbering Symbols111111"/>
  </w:style>
  <w:style w:type="character" w:customStyle="1" w:styleId="WW-NumberingSymbols1111111">
    <w:name w:val="WW-Numbering Symbols1111111"/>
  </w:style>
  <w:style w:type="character" w:customStyle="1" w:styleId="WW-NumberingSymbols11111111">
    <w:name w:val="WW-Numbering Symbols11111111"/>
  </w:style>
  <w:style w:type="character" w:customStyle="1" w:styleId="WW-NumberingSymbols111111111">
    <w:name w:val="WW-Numbering Symbols111111111"/>
  </w:style>
  <w:style w:type="character" w:customStyle="1" w:styleId="WW-BulletSymbols">
    <w:name w:val="WW-Bullet Symbols"/>
    <w:rPr>
      <w:rFonts w:ascii="StarSymbol" w:eastAsia="StarSymbol" w:hAnsi="StarSymbol" w:cs="StarSymbol"/>
      <w:sz w:val="18"/>
    </w:rPr>
  </w:style>
  <w:style w:type="character" w:customStyle="1" w:styleId="WW-BulletSymbols1">
    <w:name w:val="WW-Bullet Symbols1"/>
    <w:rPr>
      <w:rFonts w:ascii="StarSymbol" w:eastAsia="StarSymbol" w:hAnsi="StarSymbol" w:cs="StarSymbol"/>
      <w:sz w:val="18"/>
    </w:rPr>
  </w:style>
  <w:style w:type="character" w:customStyle="1" w:styleId="WW-BulletSymbols11">
    <w:name w:val="WW-Bullet Symbols11"/>
    <w:rPr>
      <w:rFonts w:ascii="StarSymbol" w:eastAsia="StarSymbol" w:hAnsi="StarSymbol" w:cs="StarSymbol"/>
      <w:sz w:val="18"/>
    </w:rPr>
  </w:style>
  <w:style w:type="character" w:customStyle="1" w:styleId="WW-BulletSymbols111">
    <w:name w:val="WW-Bullet Symbols111"/>
    <w:rPr>
      <w:rFonts w:ascii="StarSymbol" w:eastAsia="StarSymbol" w:hAnsi="StarSymbol" w:cs="StarSymbol"/>
      <w:sz w:val="18"/>
    </w:rPr>
  </w:style>
  <w:style w:type="character" w:customStyle="1" w:styleId="WW-BulletSymbols1111">
    <w:name w:val="WW-Bullet Symbols1111"/>
    <w:rPr>
      <w:rFonts w:ascii="StarSymbol" w:eastAsia="StarSymbol" w:hAnsi="StarSymbol" w:cs="StarSymbol"/>
      <w:sz w:val="18"/>
    </w:rPr>
  </w:style>
  <w:style w:type="character" w:customStyle="1" w:styleId="WW-WW8Num3z0">
    <w:name w:val="WW-WW8Num3z0"/>
    <w:rPr>
      <w:rFonts w:ascii="Times New Roman" w:hAnsi="Times New Roman" w:cs="Times New Roman"/>
    </w:rPr>
  </w:style>
  <w:style w:type="character" w:customStyle="1" w:styleId="WW-WW8Num3z01">
    <w:name w:val="WW-WW8Num3z01"/>
    <w:rPr>
      <w:rFonts w:ascii="StarSymbol" w:eastAsia="StarSymbol" w:hAnsi="StarSymbol" w:cs="StarSymbol"/>
      <w:sz w:val="18"/>
    </w:rPr>
  </w:style>
  <w:style w:type="character" w:customStyle="1" w:styleId="WW8Num20z0">
    <w:name w:val="WW8Num20z0"/>
    <w:rPr>
      <w:rFonts w:ascii="Times New Roman" w:hAnsi="Times New Roman" w:cs="Times New Roman"/>
    </w:rPr>
  </w:style>
  <w:style w:type="character" w:customStyle="1" w:styleId="WW8Num22z0">
    <w:name w:val="WW8Num22z0"/>
    <w:rPr>
      <w:rFonts w:ascii="StarSymbol" w:eastAsia="StarSymbol" w:hAnsi="StarSymbol" w:cs="StarSymbol"/>
      <w:sz w:val="18"/>
    </w:rPr>
  </w:style>
  <w:style w:type="character" w:customStyle="1" w:styleId="WW-WW8Num3z011">
    <w:name w:val="WW-WW8Num3z011"/>
    <w:rPr>
      <w:rFonts w:ascii="StarSymbol" w:eastAsia="StarSymbol" w:hAnsi="StarSymbol" w:cs="StarSymbol"/>
      <w:sz w:val="18"/>
    </w:rPr>
  </w:style>
  <w:style w:type="character" w:customStyle="1" w:styleId="WW8Num18z0">
    <w:name w:val="WW8Num18z0"/>
    <w:rPr>
      <w:rFonts w:ascii="StarSymbol" w:eastAsia="StarSymbol" w:hAnsi="StarSymbol" w:cs="StarSymbol"/>
      <w:sz w:val="18"/>
    </w:rPr>
  </w:style>
  <w:style w:type="character" w:styleId="Numerstrony">
    <w:name w:val="page number"/>
    <w:basedOn w:val="WW-Domylnaczcionkaakapitu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character" w:customStyle="1" w:styleId="WW-Bullets">
    <w:name w:val="WW-Bullets"/>
    <w:rPr>
      <w:rFonts w:ascii="StarSymbol" w:eastAsia="StarSymbol" w:hAnsi="StarSymbol" w:cs="StarSymbol"/>
      <w:sz w:val="18"/>
      <w:szCs w:val="18"/>
    </w:rPr>
  </w:style>
  <w:style w:type="character" w:customStyle="1" w:styleId="Nagwek5Znak">
    <w:name w:val="Nagłówek 5 Znak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/>
    </w:rPr>
  </w:style>
  <w:style w:type="character" w:customStyle="1" w:styleId="ZwykytekstZnak">
    <w:name w:val="Zwykły tekst Znak"/>
    <w:rPr>
      <w:rFonts w:ascii="Arial" w:eastAsia="Calibri" w:hAnsi="Arial" w:cs="Arial"/>
      <w:lang w:val="pl-PL"/>
    </w:rPr>
  </w:style>
  <w:style w:type="character" w:customStyle="1" w:styleId="TekstprzypisukocowegoZnak">
    <w:name w:val="Tekst przypisu końcowego Znak"/>
    <w:rPr>
      <w:rFonts w:ascii="Thorndale" w:eastAsia="HG Mincho Light J" w:hAnsi="Thorndale" w:cs="Thorndale"/>
      <w:color w:val="000000"/>
      <w:lang w:val="en-US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apple-style-span">
    <w:name w:val="apple-style-span"/>
    <w:basedOn w:val="Domylnaczcionkaakapitu1"/>
  </w:style>
  <w:style w:type="character" w:customStyle="1" w:styleId="apple-converted-space">
    <w:name w:val="apple-converted-space"/>
  </w:style>
  <w:style w:type="character" w:styleId="Uwydatnienie">
    <w:name w:val="Emphasis"/>
    <w:uiPriority w:val="20"/>
    <w:qFormat/>
    <w:rPr>
      <w:i/>
      <w:iCs/>
    </w:rPr>
  </w:style>
  <w:style w:type="character" w:customStyle="1" w:styleId="null">
    <w:name w:val="null"/>
  </w:style>
  <w:style w:type="character" w:customStyle="1" w:styleId="Nagwek4Znak">
    <w:name w:val="Nagłówek 4 Znak"/>
    <w:rPr>
      <w:rFonts w:ascii="Calibri" w:eastAsia="Times New Roman" w:hAnsi="Calibri" w:cs="Times New Roman"/>
      <w:b/>
      <w:bCs/>
      <w:color w:val="000000"/>
      <w:sz w:val="28"/>
      <w:szCs w:val="28"/>
      <w:lang w:val="en-US"/>
    </w:rPr>
  </w:style>
  <w:style w:type="character" w:customStyle="1" w:styleId="Nagwek3Znak">
    <w:name w:val="Nagłówek 3 Znak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CommentTextChar">
    <w:name w:val="Comment Text Char"/>
    <w:link w:val="CommentText1"/>
    <w:uiPriority w:val="99"/>
    <w:rPr>
      <w:rFonts w:ascii="Thorndale" w:eastAsia="HG Mincho Light J" w:hAnsi="Thorndale" w:cs="Thorndale"/>
      <w:color w:val="000000"/>
      <w:lang w:val="en-US"/>
    </w:rPr>
  </w:style>
  <w:style w:type="character" w:customStyle="1" w:styleId="TematkomentarzaZnak">
    <w:name w:val="Temat komentarza Znak"/>
    <w:rPr>
      <w:rFonts w:ascii="Thorndale" w:eastAsia="HG Mincho Light J" w:hAnsi="Thorndale" w:cs="Thorndale"/>
      <w:b/>
      <w:bCs/>
      <w:color w:val="000000"/>
      <w:lang w:val="en-US"/>
    </w:rPr>
  </w:style>
  <w:style w:type="character" w:customStyle="1" w:styleId="TekstdymkaZnak">
    <w:name w:val="Tekst dymka Znak"/>
    <w:rPr>
      <w:rFonts w:ascii="Tahoma" w:eastAsia="HG Mincho Light J" w:hAnsi="Tahoma" w:cs="Tahoma"/>
      <w:color w:val="000000"/>
      <w:sz w:val="16"/>
      <w:szCs w:val="16"/>
      <w:lang w:val="en-US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phdln">
    <w:name w:val="phdln"/>
    <w:basedOn w:val="Domylnaczcionkaakapitu2"/>
  </w:style>
  <w:style w:type="character" w:customStyle="1" w:styleId="Znakinumeracji">
    <w:name w:val="Znaki numeracji"/>
  </w:style>
  <w:style w:type="character" w:customStyle="1" w:styleId="st">
    <w:name w:val="st"/>
  </w:style>
  <w:style w:type="character" w:styleId="Wyrnieniedelikatne">
    <w:name w:val="Subtle Emphasis"/>
    <w:qFormat/>
    <w:rPr>
      <w:i/>
      <w:iCs/>
      <w:color w:val="404040"/>
    </w:rPr>
  </w:style>
  <w:style w:type="character" w:customStyle="1" w:styleId="StopkaZnak">
    <w:name w:val="Stopka Znak"/>
    <w:rPr>
      <w:rFonts w:ascii="Thorndale" w:eastAsia="HG Mincho Light J" w:hAnsi="Thorndale" w:cs="Thorndale"/>
      <w:color w:val="000000"/>
      <w:sz w:val="24"/>
      <w:lang w:val="en-US"/>
    </w:rPr>
  </w:style>
  <w:style w:type="character" w:customStyle="1" w:styleId="textexposedshow">
    <w:name w:val="text_exposed_show"/>
  </w:style>
  <w:style w:type="character" w:customStyle="1" w:styleId="A13">
    <w:name w:val="A13"/>
    <w:rPr>
      <w:rFonts w:cs="Taz"/>
      <w:color w:val="000000"/>
      <w:sz w:val="20"/>
      <w:szCs w:val="20"/>
    </w:rPr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Thorndale" w:eastAsia="HG Mincho Light J" w:hAnsi="Thorndale" w:cs="Thorndale"/>
      <w:color w:val="000000"/>
      <w:lang w:val="en-US"/>
    </w:rPr>
  </w:style>
  <w:style w:type="character" w:customStyle="1" w:styleId="ZwykytekstZnak1">
    <w:name w:val="Zwykły tekst Znak1"/>
    <w:rPr>
      <w:rFonts w:ascii="Courier New" w:eastAsia="HG Mincho Light J" w:hAnsi="Courier New" w:cs="Courier New"/>
      <w:color w:val="000000"/>
      <w:lang w:val="en-US"/>
    </w:rPr>
  </w:style>
  <w:style w:type="character" w:customStyle="1" w:styleId="Odwoanieprzypisukocowego2">
    <w:name w:val="Odwołanie przypisu końcowego2"/>
    <w:rPr>
      <w:vertAlign w:val="superscript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TekstprzypisudolnegoZnak">
    <w:name w:val="Tekst przypisu dolnego Znak"/>
    <w:rPr>
      <w:rFonts w:ascii="Thorndale" w:eastAsia="HG Mincho Light J" w:hAnsi="Thorndale" w:cs="Thorndale"/>
      <w:color w:val="000000"/>
      <w:lang w:val="en-US"/>
    </w:rPr>
  </w:style>
  <w:style w:type="character" w:customStyle="1" w:styleId="Znakiprzypiswdolnych">
    <w:name w:val="Znaki przypisów dolnych"/>
    <w:rPr>
      <w:vertAlign w:val="superscript"/>
    </w:rPr>
  </w:style>
  <w:style w:type="paragraph" w:customStyle="1" w:styleId="Nagwek30">
    <w:name w:val="Nagłówek3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before="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3">
    <w:name w:val="Podpis3"/>
    <w:basedOn w:val="Normalny"/>
    <w:pPr>
      <w:suppressLineNumbers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WW-Heading">
    <w:name w:val="WW-Heading"/>
    <w:basedOn w:val="Normalny"/>
    <w:next w:val="Tekstpodstawowy"/>
    <w:pPr>
      <w:keepNext/>
      <w:spacing w:before="240"/>
    </w:pPr>
    <w:rPr>
      <w:rFonts w:ascii="Albany" w:hAnsi="Albany" w:cs="Albany"/>
      <w:sz w:val="28"/>
    </w:rPr>
  </w:style>
  <w:style w:type="paragraph" w:customStyle="1" w:styleId="Nagwek20">
    <w:name w:val="Nagłówek2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pPr>
      <w:suppressLineNumbers/>
    </w:pPr>
    <w:rPr>
      <w:rFonts w:cs="Mangal"/>
      <w:i/>
      <w:iCs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  <w:szCs w:val="24"/>
    </w:rPr>
  </w:style>
  <w:style w:type="paragraph" w:customStyle="1" w:styleId="Caption1">
    <w:name w:val="Caption1"/>
    <w:basedOn w:val="Normalny"/>
    <w:pPr>
      <w:suppressLineNumbers/>
    </w:pPr>
    <w:rPr>
      <w:rFonts w:cs="Tahoma"/>
      <w:i/>
      <w:iCs/>
      <w:sz w:val="20"/>
    </w:rPr>
  </w:style>
  <w:style w:type="paragraph" w:customStyle="1" w:styleId="Index">
    <w:name w:val="Index"/>
    <w:basedOn w:val="Normalny"/>
    <w:pPr>
      <w:suppressLineNumbers/>
    </w:pPr>
    <w:rPr>
      <w:rFonts w:cs="Tahoma"/>
    </w:rPr>
  </w:style>
  <w:style w:type="paragraph" w:customStyle="1" w:styleId="Heading">
    <w:name w:val="Heading"/>
    <w:basedOn w:val="Normalny"/>
    <w:next w:val="Tekstpodstawowy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customStyle="1" w:styleId="WW-Caption">
    <w:name w:val="WW-Caption"/>
    <w:basedOn w:val="Normalny"/>
    <w:pPr>
      <w:suppressLineNumbers/>
    </w:pPr>
    <w:rPr>
      <w:rFonts w:cs="Tahoma"/>
      <w:i/>
      <w:iCs/>
      <w:sz w:val="20"/>
    </w:rPr>
  </w:style>
  <w:style w:type="paragraph" w:customStyle="1" w:styleId="WW-Index">
    <w:name w:val="WW-Index"/>
    <w:basedOn w:val="Normalny"/>
    <w:pPr>
      <w:suppressLineNumbers/>
    </w:pPr>
    <w:rPr>
      <w:rFonts w:cs="Tahoma"/>
    </w:rPr>
  </w:style>
  <w:style w:type="paragraph" w:customStyle="1" w:styleId="WW-Heading1">
    <w:name w:val="WW-Heading1"/>
    <w:basedOn w:val="Normalny"/>
    <w:next w:val="Tekstpodstawowy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customStyle="1" w:styleId="WW-Caption1">
    <w:name w:val="WW-Caption1"/>
    <w:basedOn w:val="Normalny"/>
    <w:pPr>
      <w:suppressLineNumbers/>
    </w:pPr>
    <w:rPr>
      <w:rFonts w:cs="Tahoma"/>
      <w:i/>
      <w:iCs/>
      <w:sz w:val="20"/>
    </w:rPr>
  </w:style>
  <w:style w:type="paragraph" w:customStyle="1" w:styleId="WW-Index1">
    <w:name w:val="WW-Index1"/>
    <w:basedOn w:val="Normalny"/>
    <w:pPr>
      <w:suppressLineNumbers/>
    </w:pPr>
    <w:rPr>
      <w:rFonts w:cs="Tahoma"/>
    </w:rPr>
  </w:style>
  <w:style w:type="paragraph" w:customStyle="1" w:styleId="WW-Heading11">
    <w:name w:val="WW-Heading11"/>
    <w:basedOn w:val="Normalny"/>
    <w:next w:val="Tekstpodstawowy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customStyle="1" w:styleId="WW-Caption11">
    <w:name w:val="WW-Caption11"/>
    <w:basedOn w:val="Normalny"/>
    <w:pPr>
      <w:suppressLineNumbers/>
    </w:pPr>
    <w:rPr>
      <w:rFonts w:cs="Tahoma"/>
      <w:i/>
      <w:iCs/>
      <w:sz w:val="20"/>
    </w:rPr>
  </w:style>
  <w:style w:type="paragraph" w:customStyle="1" w:styleId="WW-Index11">
    <w:name w:val="WW-Index11"/>
    <w:basedOn w:val="Normalny"/>
    <w:pPr>
      <w:suppressLineNumbers/>
    </w:pPr>
    <w:rPr>
      <w:rFonts w:cs="Tahoma"/>
    </w:rPr>
  </w:style>
  <w:style w:type="paragraph" w:customStyle="1" w:styleId="WW-Heading111">
    <w:name w:val="WW-Heading111"/>
    <w:basedOn w:val="Normalny"/>
    <w:next w:val="Tekstpodstawowy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customStyle="1" w:styleId="WW-Caption111">
    <w:name w:val="WW-Caption111"/>
    <w:basedOn w:val="Normalny"/>
    <w:pPr>
      <w:suppressLineNumbers/>
    </w:pPr>
    <w:rPr>
      <w:rFonts w:cs="Tahoma"/>
      <w:i/>
      <w:iCs/>
      <w:sz w:val="20"/>
    </w:rPr>
  </w:style>
  <w:style w:type="paragraph" w:customStyle="1" w:styleId="WW-Index111">
    <w:name w:val="WW-Index111"/>
    <w:basedOn w:val="Normalny"/>
    <w:pPr>
      <w:suppressLineNumbers/>
    </w:pPr>
    <w:rPr>
      <w:rFonts w:cs="Tahoma"/>
    </w:rPr>
  </w:style>
  <w:style w:type="paragraph" w:customStyle="1" w:styleId="WW-Heading1111">
    <w:name w:val="WW-Heading1111"/>
    <w:basedOn w:val="Normalny"/>
    <w:next w:val="Tekstpodstawowy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styleId="Nagwek">
    <w:name w:val="head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Tekstpodstawowy"/>
    <w:pPr>
      <w:suppressLineNumbers/>
    </w:pPr>
  </w:style>
  <w:style w:type="paragraph" w:customStyle="1" w:styleId="WW-TableContents">
    <w:name w:val="WW-Table Contents"/>
    <w:basedOn w:val="Tekstpodstawowy"/>
    <w:pPr>
      <w:suppressLineNumbers/>
    </w:pPr>
  </w:style>
  <w:style w:type="paragraph" w:customStyle="1" w:styleId="WW-TableContents1">
    <w:name w:val="WW-Table Contents1"/>
    <w:basedOn w:val="Tekstpodstawowy"/>
    <w:pPr>
      <w:suppressLineNumbers/>
    </w:pPr>
  </w:style>
  <w:style w:type="paragraph" w:customStyle="1" w:styleId="WW-TableContents11">
    <w:name w:val="WW-Table Contents11"/>
    <w:basedOn w:val="Tekstpodstawowy"/>
    <w:pPr>
      <w:suppressLineNumbers/>
    </w:pPr>
  </w:style>
  <w:style w:type="paragraph" w:customStyle="1" w:styleId="WW-TableContents111">
    <w:name w:val="WW-Table Contents111"/>
    <w:basedOn w:val="Tekstpodstawowy"/>
    <w:pPr>
      <w:suppressLineNumbers/>
    </w:pPr>
  </w:style>
  <w:style w:type="paragraph" w:customStyle="1" w:styleId="WW-TableContents1111">
    <w:name w:val="WW-Table Contents1111"/>
    <w:basedOn w:val="Tekstpodstawow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pPr>
      <w:jc w:val="center"/>
    </w:pPr>
    <w:rPr>
      <w:b/>
    </w:rPr>
  </w:style>
  <w:style w:type="paragraph" w:customStyle="1" w:styleId="DefaultLTGliederung1">
    <w:name w:val="Default~LT~Gliederung 1"/>
    <w:basedOn w:val="Normalny"/>
    <w:pPr>
      <w:tabs>
        <w:tab w:val="left" w:pos="1569"/>
        <w:tab w:val="left" w:pos="3009"/>
        <w:tab w:val="left" w:pos="4449"/>
        <w:tab w:val="left" w:pos="5889"/>
        <w:tab w:val="left" w:pos="7329"/>
        <w:tab w:val="left" w:pos="8769"/>
        <w:tab w:val="left" w:pos="10209"/>
        <w:tab w:val="left" w:pos="11649"/>
      </w:tabs>
      <w:autoSpaceDE w:val="0"/>
      <w:spacing w:before="100" w:after="0" w:line="252" w:lineRule="auto"/>
      <w:ind w:left="262"/>
      <w:jc w:val="left"/>
    </w:pPr>
    <w:rPr>
      <w:rFonts w:ascii="Arial Unicode MS" w:eastAsia="Arial Unicode MS" w:hAnsi="Arial Unicode MS" w:cs="Arial Unicode MS"/>
      <w:sz w:val="40"/>
    </w:rPr>
  </w:style>
  <w:style w:type="paragraph" w:customStyle="1" w:styleId="DefaultLTGliederung2">
    <w:name w:val="Default~LT~Gliederung 2"/>
    <w:basedOn w:val="DefaultLTGliederung1"/>
    <w:pPr>
      <w:tabs>
        <w:tab w:val="left" w:pos="1201"/>
        <w:tab w:val="left" w:pos="1725"/>
        <w:tab w:val="left" w:pos="2070"/>
        <w:tab w:val="left" w:pos="2117"/>
        <w:tab w:val="left" w:pos="2641"/>
        <w:tab w:val="left" w:pos="3165"/>
        <w:tab w:val="left" w:pos="3510"/>
        <w:tab w:val="left" w:pos="3557"/>
        <w:tab w:val="left" w:pos="4081"/>
        <w:tab w:val="left" w:pos="4605"/>
        <w:tab w:val="left" w:pos="4950"/>
        <w:tab w:val="left" w:pos="4997"/>
        <w:tab w:val="left" w:pos="5521"/>
        <w:tab w:val="left" w:pos="6045"/>
        <w:tab w:val="left" w:pos="6390"/>
        <w:tab w:val="left" w:pos="6437"/>
        <w:tab w:val="left" w:pos="6961"/>
        <w:tab w:val="left" w:pos="7485"/>
        <w:tab w:val="left" w:pos="7830"/>
        <w:tab w:val="left" w:pos="7877"/>
        <w:tab w:val="left" w:pos="8401"/>
        <w:tab w:val="left" w:pos="8925"/>
        <w:tab w:val="left" w:pos="9270"/>
        <w:tab w:val="left" w:pos="9317"/>
        <w:tab w:val="left" w:pos="9841"/>
        <w:tab w:val="left" w:pos="10365"/>
        <w:tab w:val="left" w:pos="10710"/>
        <w:tab w:val="left" w:pos="10757"/>
        <w:tab w:val="left" w:pos="11281"/>
        <w:tab w:val="left" w:pos="11805"/>
        <w:tab w:val="left" w:pos="12150"/>
        <w:tab w:val="left" w:pos="12197"/>
        <w:tab w:val="left" w:pos="12721"/>
        <w:tab w:val="left" w:pos="13245"/>
        <w:tab w:val="left" w:pos="13590"/>
        <w:tab w:val="left" w:pos="14161"/>
        <w:tab w:val="left" w:pos="14685"/>
        <w:tab w:val="left" w:pos="15030"/>
        <w:tab w:val="left" w:pos="16125"/>
      </w:tabs>
      <w:spacing w:before="90"/>
      <w:ind w:left="810"/>
    </w:pPr>
    <w:rPr>
      <w:sz w:val="36"/>
    </w:rPr>
  </w:style>
  <w:style w:type="paragraph" w:customStyle="1" w:styleId="DefaultLTGliederung3">
    <w:name w:val="Default~LT~Gliederung 3"/>
    <w:basedOn w:val="DefaultLTGliederung2"/>
    <w:rPr>
      <w:sz w:val="32"/>
    </w:rPr>
  </w:style>
  <w:style w:type="paragraph" w:customStyle="1" w:styleId="DefaultLTGliederung4">
    <w:name w:val="Default~LT~Gliederung 4"/>
    <w:basedOn w:val="DefaultLTGliederung3"/>
    <w:rPr>
      <w:sz w:val="28"/>
    </w:rPr>
  </w:style>
  <w:style w:type="paragraph" w:customStyle="1" w:styleId="WW-Normlnweb">
    <w:name w:val="WW-Normální (web)"/>
    <w:basedOn w:val="Normalny"/>
    <w:pPr>
      <w:spacing w:before="100" w:after="100"/>
    </w:pPr>
    <w:rPr>
      <w:lang w:val="hu-HU"/>
    </w:rPr>
  </w:style>
  <w:style w:type="paragraph" w:customStyle="1" w:styleId="cim1">
    <w:name w:val="cim1"/>
    <w:basedOn w:val="Normalny"/>
    <w:pPr>
      <w:spacing w:before="100" w:after="100"/>
    </w:pPr>
    <w:rPr>
      <w:rFonts w:ascii="Verdana" w:hAnsi="Verdana" w:cs="Verdana"/>
      <w:b/>
      <w:color w:val="800000"/>
      <w:lang w:val="hu-HU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Times New Roman"/>
    </w:rPr>
  </w:style>
  <w:style w:type="paragraph" w:customStyle="1" w:styleId="Framecontents">
    <w:name w:val="Frame contents"/>
    <w:basedOn w:val="Tekstpodstawowy"/>
  </w:style>
  <w:style w:type="paragraph" w:customStyle="1" w:styleId="WW-Framecontents">
    <w:name w:val="WW-Frame contents"/>
    <w:basedOn w:val="Tekstpodstawowy"/>
  </w:style>
  <w:style w:type="paragraph" w:customStyle="1" w:styleId="WW-Framecontents1">
    <w:name w:val="WW-Frame contents1"/>
    <w:basedOn w:val="Tekstpodstawowy"/>
  </w:style>
  <w:style w:type="paragraph" w:customStyle="1" w:styleId="WW-Framecontents11">
    <w:name w:val="WW-Frame contents11"/>
    <w:basedOn w:val="Tekstpodstawowy"/>
  </w:style>
  <w:style w:type="paragraph" w:customStyle="1" w:styleId="WW-Framecontents111">
    <w:name w:val="WW-Frame contents111"/>
    <w:basedOn w:val="Tekstpodstawowy"/>
  </w:style>
  <w:style w:type="paragraph" w:styleId="NormalnyWeb">
    <w:name w:val="Normal (Web)"/>
    <w:basedOn w:val="Normalny"/>
    <w:uiPriority w:val="99"/>
    <w:rPr>
      <w:rFonts w:ascii="Times New Roman" w:hAnsi="Times New Roman" w:cs="Times New Roman"/>
      <w:szCs w:val="24"/>
    </w:rPr>
  </w:style>
  <w:style w:type="paragraph" w:customStyle="1" w:styleId="Zwykytekst1">
    <w:name w:val="Zwykły tekst1"/>
    <w:basedOn w:val="Normalny"/>
    <w:pPr>
      <w:widowControl/>
      <w:suppressAutoHyphens w:val="0"/>
    </w:pPr>
    <w:rPr>
      <w:rFonts w:ascii="Arial" w:eastAsia="Calibri" w:hAnsi="Arial" w:cs="Arial"/>
      <w:color w:val="auto"/>
      <w:sz w:val="20"/>
      <w:lang w:val="pl-PL"/>
    </w:rPr>
  </w:style>
  <w:style w:type="paragraph" w:styleId="Tekstprzypisukocowego">
    <w:name w:val="endnote text"/>
    <w:basedOn w:val="Normalny"/>
    <w:rPr>
      <w:sz w:val="20"/>
    </w:rPr>
  </w:style>
  <w:style w:type="paragraph" w:styleId="Akapitzlist">
    <w:name w:val="List Paragraph"/>
    <w:basedOn w:val="Normalny"/>
    <w:uiPriority w:val="34"/>
    <w:qFormat/>
    <w:pPr>
      <w:widowControl/>
      <w:suppressAutoHyphens w:val="0"/>
      <w:ind w:left="113"/>
    </w:pPr>
    <w:rPr>
      <w:rFonts w:ascii="Calibri" w:eastAsia="Calibri" w:hAnsi="Calibri" w:cs="Calibri"/>
      <w:color w:val="auto"/>
      <w:sz w:val="22"/>
      <w:szCs w:val="22"/>
      <w:lang w:val="pl-PL"/>
    </w:rPr>
  </w:style>
  <w:style w:type="paragraph" w:customStyle="1" w:styleId="Standard">
    <w:name w:val="Standard"/>
    <w:pPr>
      <w:widowControl w:val="0"/>
      <w:suppressAutoHyphens/>
    </w:pPr>
    <w:rPr>
      <w:rFonts w:eastAsia="Arial Unicode MS" w:cs="Tahoma"/>
      <w:kern w:val="1"/>
      <w:sz w:val="24"/>
      <w:szCs w:val="24"/>
      <w:lang w:val="pl-PL" w:eastAsia="ar-SA"/>
    </w:rPr>
  </w:style>
  <w:style w:type="paragraph" w:customStyle="1" w:styleId="Tekstkomentarza1">
    <w:name w:val="Tekst komentarza1"/>
    <w:basedOn w:val="Normalny"/>
    <w:rPr>
      <w:rFonts w:cs="Times New Roman"/>
      <w:sz w:val="20"/>
    </w:rPr>
  </w:style>
  <w:style w:type="paragraph" w:customStyle="1" w:styleId="CommentSubject1">
    <w:name w:val="Comment Subject1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imes New Roman"/>
      <w:sz w:val="16"/>
      <w:szCs w:val="16"/>
    </w:rPr>
  </w:style>
  <w:style w:type="paragraph" w:styleId="HTML-wstpniesformatowany">
    <w:name w:val="HTML Preformatted"/>
    <w:basedOn w:val="Normalny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lang w:val="pl-PL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ar-SA"/>
    </w:rPr>
  </w:style>
  <w:style w:type="paragraph" w:customStyle="1" w:styleId="Tekstgownyzpunktatorem">
    <w:name w:val="Tekst głowny z punktatorem"/>
    <w:basedOn w:val="Normalny"/>
    <w:pPr>
      <w:numPr>
        <w:numId w:val="2"/>
      </w:numPr>
      <w:jc w:val="left"/>
    </w:pPr>
  </w:style>
  <w:style w:type="paragraph" w:customStyle="1" w:styleId="STOPKA0">
    <w:name w:val="STOPKA"/>
    <w:basedOn w:val="Stopka"/>
    <w:pPr>
      <w:spacing w:before="0" w:after="0" w:line="240" w:lineRule="auto"/>
    </w:pPr>
  </w:style>
  <w:style w:type="paragraph" w:customStyle="1" w:styleId="Tekstkomentarza2">
    <w:name w:val="Tekst komentarza2"/>
    <w:basedOn w:val="Normalny"/>
    <w:rPr>
      <w:rFonts w:cs="Times New Roman"/>
      <w:sz w:val="20"/>
    </w:rPr>
  </w:style>
  <w:style w:type="paragraph" w:customStyle="1" w:styleId="Zwykytekst2">
    <w:name w:val="Zwykły tekst2"/>
    <w:basedOn w:val="Normalny"/>
    <w:pPr>
      <w:widowControl/>
      <w:suppressAutoHyphens w:val="0"/>
      <w:spacing w:before="0" w:after="0" w:line="240" w:lineRule="auto"/>
      <w:jc w:val="left"/>
    </w:pPr>
    <w:rPr>
      <w:rFonts w:ascii="Arial" w:eastAsia="Calibri" w:hAnsi="Arial" w:cs="Times New Roman"/>
      <w:color w:val="auto"/>
      <w:sz w:val="20"/>
      <w:lang w:val="pl-PL"/>
    </w:rPr>
  </w:style>
  <w:style w:type="paragraph" w:customStyle="1" w:styleId="ox-b7383ecca4-msolistparagraph">
    <w:name w:val="ox-b7383ecca4-msolistparagraph"/>
    <w:basedOn w:val="Normalny"/>
    <w:pPr>
      <w:widowControl/>
      <w:suppressAutoHyphens w:val="0"/>
      <w:spacing w:before="280" w:after="280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val="pl-PL"/>
    </w:rPr>
  </w:style>
  <w:style w:type="paragraph" w:styleId="Tekstprzypisudolnego">
    <w:name w:val="footnote text"/>
    <w:basedOn w:val="Normalny"/>
    <w:rPr>
      <w:sz w:val="20"/>
    </w:rPr>
  </w:style>
  <w:style w:type="character" w:customStyle="1" w:styleId="TekstpodstawowyZnak">
    <w:name w:val="Tekst podstawowy Znak"/>
    <w:link w:val="Tekstpodstawowy"/>
    <w:rsid w:val="00122A25"/>
    <w:rPr>
      <w:rFonts w:ascii="Thorndale" w:eastAsia="HG Mincho Light J" w:hAnsi="Thorndale" w:cs="Thorndale"/>
      <w:color w:val="000000"/>
      <w:sz w:val="24"/>
      <w:lang w:val="en-US" w:eastAsia="ar-SA"/>
    </w:rPr>
  </w:style>
  <w:style w:type="character" w:customStyle="1" w:styleId="CommentReference1">
    <w:name w:val="Comment Reference1"/>
    <w:uiPriority w:val="99"/>
    <w:semiHidden/>
    <w:unhideWhenUsed/>
    <w:rsid w:val="00581013"/>
    <w:rPr>
      <w:sz w:val="16"/>
      <w:szCs w:val="16"/>
    </w:rPr>
  </w:style>
  <w:style w:type="paragraph" w:customStyle="1" w:styleId="CommentText1">
    <w:name w:val="Comment Text1"/>
    <w:basedOn w:val="Normalny"/>
    <w:link w:val="CommentTextChar"/>
    <w:uiPriority w:val="99"/>
    <w:semiHidden/>
    <w:unhideWhenUsed/>
    <w:rsid w:val="00581013"/>
    <w:pPr>
      <w:autoSpaceDN w:val="0"/>
      <w:spacing w:before="0" w:after="0" w:line="240" w:lineRule="auto"/>
      <w:jc w:val="left"/>
      <w:textAlignment w:val="baseline"/>
    </w:pPr>
    <w:rPr>
      <w:sz w:val="20"/>
      <w:lang w:eastAsia="pl-PL"/>
    </w:rPr>
  </w:style>
  <w:style w:type="character" w:customStyle="1" w:styleId="TekstkomentarzaZnak2">
    <w:name w:val="Tekst komentarza Znak2"/>
    <w:uiPriority w:val="99"/>
    <w:semiHidden/>
    <w:rsid w:val="00581013"/>
    <w:rPr>
      <w:rFonts w:ascii="Thorndale" w:eastAsia="HG Mincho Light J" w:hAnsi="Thorndale" w:cs="Thorndale"/>
      <w:color w:val="000000"/>
      <w:lang w:val="en-US" w:eastAsia="ar-SA"/>
    </w:rPr>
  </w:style>
  <w:style w:type="character" w:styleId="Odwoanieprzypisukocowego">
    <w:name w:val="endnote reference"/>
    <w:uiPriority w:val="99"/>
    <w:semiHidden/>
    <w:unhideWhenUsed/>
    <w:rsid w:val="003D783E"/>
    <w:rPr>
      <w:vertAlign w:val="superscript"/>
    </w:rPr>
  </w:style>
  <w:style w:type="character" w:styleId="Odwoanieprzypisudolnego">
    <w:name w:val="footnote reference"/>
    <w:uiPriority w:val="99"/>
    <w:semiHidden/>
    <w:unhideWhenUsed/>
    <w:rsid w:val="0047458A"/>
    <w:rPr>
      <w:vertAlign w:val="superscript"/>
    </w:rPr>
  </w:style>
  <w:style w:type="paragraph" w:customStyle="1" w:styleId="Tre">
    <w:name w:val="Treść"/>
    <w:rsid w:val="006357A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pl-PL" w:eastAsia="pl-PL"/>
    </w:rPr>
  </w:style>
  <w:style w:type="paragraph" w:styleId="Tytu">
    <w:name w:val="Title"/>
    <w:basedOn w:val="Normalny"/>
    <w:next w:val="Normalny"/>
    <w:link w:val="TytuZnak"/>
    <w:qFormat/>
    <w:rsid w:val="006C797B"/>
    <w:pPr>
      <w:widowControl/>
      <w:pBdr>
        <w:bottom w:val="single" w:sz="8" w:space="4" w:color="4F81BD"/>
      </w:pBdr>
      <w:suppressAutoHyphens w:val="0"/>
      <w:spacing w:before="0"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pl-PL" w:eastAsia="en-US"/>
    </w:rPr>
  </w:style>
  <w:style w:type="character" w:customStyle="1" w:styleId="TytuZnak">
    <w:name w:val="Tytuł Znak"/>
    <w:link w:val="Tytu"/>
    <w:uiPriority w:val="10"/>
    <w:rsid w:val="006C797B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normaltextrun">
    <w:name w:val="normaltextrun"/>
    <w:basedOn w:val="Domylnaczcionkaakapitu"/>
    <w:rsid w:val="002A2A8E"/>
  </w:style>
  <w:style w:type="paragraph" w:styleId="Poprawka">
    <w:name w:val="Revision"/>
    <w:hidden/>
    <w:uiPriority w:val="99"/>
    <w:semiHidden/>
    <w:rsid w:val="00AD42D0"/>
    <w:rPr>
      <w:rFonts w:ascii="Thorndale" w:eastAsia="HG Mincho Light J" w:hAnsi="Thorndale" w:cs="Thorndale"/>
      <w:color w:val="000000"/>
      <w:sz w:val="24"/>
      <w:lang w:val="en-US"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23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aint-gobain-glass.pl/produkty/szklo-fasadowe/cool-lite-skn-155-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CC7F-E91F-4330-97F5-2EB79F7958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754b47-c413-4aa1-bfc3-c33089241f4f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795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</vt:lpstr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</dc:title>
  <dc:subject/>
  <dc:creator>Toolbox PR</dc:creator>
  <cp:keywords/>
  <cp:lastModifiedBy>Tower Group 2</cp:lastModifiedBy>
  <cp:revision>25</cp:revision>
  <cp:lastPrinted>2016-11-16T02:32:00Z</cp:lastPrinted>
  <dcterms:created xsi:type="dcterms:W3CDTF">2026-07-06T10:23:00Z</dcterms:created>
  <dcterms:modified xsi:type="dcterms:W3CDTF">2026-07-07T08:44:00Z</dcterms:modified>
</cp:coreProperties>
</file>