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7E82" w14:textId="502EFC6D" w:rsidR="00D763C9" w:rsidRDefault="00C66D98" w:rsidP="00D8477D">
      <w:r w:rsidRPr="00C66D98">
        <w:rPr>
          <w:noProof/>
        </w:rPr>
        <mc:AlternateContent>
          <mc:Choice Requires="wps">
            <w:drawing>
              <wp:anchor distT="0" distB="0" distL="114300" distR="114300" simplePos="0" relativeHeight="251658240" behindDoc="0" locked="0" layoutInCell="1" allowOverlap="1" wp14:anchorId="79F3970F" wp14:editId="48B2DE3A">
                <wp:simplePos x="0" y="0"/>
                <wp:positionH relativeFrom="margin">
                  <wp:align>center</wp:align>
                </wp:positionH>
                <wp:positionV relativeFrom="paragraph">
                  <wp:posOffset>3175</wp:posOffset>
                </wp:positionV>
                <wp:extent cx="659958" cy="330200"/>
                <wp:effectExtent l="0" t="0" r="6985" b="0"/>
                <wp:wrapNone/>
                <wp:docPr id="6" name="Rounded Rectangle">
                  <a:extLst xmlns:a="http://schemas.openxmlformats.org/drawingml/2006/main">
                    <a:ext uri="{FF2B5EF4-FFF2-40B4-BE49-F238E27FC236}">
                      <a16:creationId xmlns:a16="http://schemas.microsoft.com/office/drawing/2014/main" id="{3110A0E2-0A33-B080-FC81-ADBE5A2E67D0}"/>
                    </a:ext>
                  </a:extLst>
                </wp:docPr>
                <wp:cNvGraphicFramePr/>
                <a:graphic xmlns:a="http://schemas.openxmlformats.org/drawingml/2006/main">
                  <a:graphicData uri="http://schemas.microsoft.com/office/word/2010/wordprocessingShape">
                    <wps:wsp>
                      <wps:cNvSpPr/>
                      <wps:spPr>
                        <a:xfrm>
                          <a:off x="0" y="0"/>
                          <a:ext cx="659958" cy="330200"/>
                        </a:xfrm>
                        <a:prstGeom prst="roundRect">
                          <a:avLst>
                            <a:gd name="adj" fmla="val 50000"/>
                          </a:avLst>
                        </a:prstGeom>
                        <a:solidFill>
                          <a:srgbClr val="0195C7"/>
                        </a:solidFill>
                        <a:ln w="12700">
                          <a:miter lim="400000"/>
                        </a:ln>
                      </wps:spPr>
                      <wps:txbx>
                        <w:txbxContent>
                          <w:p w14:paraId="5AF847AA" w14:textId="21ED6604" w:rsidR="00C66D98" w:rsidRPr="00C66D98" w:rsidRDefault="007027E3" w:rsidP="00C66D98">
                            <w:pPr>
                              <w:spacing w:after="0" w:line="240" w:lineRule="auto"/>
                              <w:jc w:val="center"/>
                              <w:rPr>
                                <w:rFonts w:ascii="Microsoft PhagsPa" w:eastAsia="Microsoft JhengHei UI" w:hAnsi="Microsoft PhagsPa" w:cs="Helvetica Neue Medium"/>
                                <w:b/>
                                <w:bCs/>
                                <w:color w:val="FFFFFF" w:themeColor="background1"/>
                                <w:kern w:val="24"/>
                                <w:sz w:val="16"/>
                                <w:szCs w:val="16"/>
                                <w:lang w:val="pt-PT"/>
                                <w14:ligatures w14:val="none"/>
                              </w:rPr>
                            </w:pPr>
                            <w:r>
                              <w:rPr>
                                <w:rFonts w:ascii="Microsoft PhagsPa" w:eastAsia="Microsoft JhengHei UI" w:hAnsi="Microsoft PhagsPa" w:cs="Helvetica Neue Medium"/>
                                <w:b/>
                                <w:bCs/>
                                <w:color w:val="FFFFFF" w:themeColor="background1"/>
                                <w:kern w:val="24"/>
                                <w:sz w:val="16"/>
                                <w:szCs w:val="16"/>
                                <w:lang w:val="pt-PT"/>
                              </w:rPr>
                              <w:t>DICAS</w:t>
                            </w:r>
                          </w:p>
                        </w:txbxContent>
                      </wps:txbx>
                      <wps:bodyPr wrap="square" lIns="50800" tIns="50800" rIns="50800" bIns="50800" anchor="ctr">
                        <a:noAutofit/>
                      </wps:bodyPr>
                    </wps:wsp>
                  </a:graphicData>
                </a:graphic>
                <wp14:sizeRelH relativeFrom="margin">
                  <wp14:pctWidth>0</wp14:pctWidth>
                </wp14:sizeRelH>
                <wp14:sizeRelV relativeFrom="margin">
                  <wp14:pctHeight>0</wp14:pctHeight>
                </wp14:sizeRelV>
              </wp:anchor>
            </w:drawing>
          </mc:Choice>
          <mc:Fallback>
            <w:pict>
              <v:roundrect w14:anchorId="79F3970F" id="Rounded Rectangle" o:spid="_x0000_s1026" style="position:absolute;margin-left:0;margin-top:.25pt;width:51.95pt;height: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" fillcolor="#0195c7" stroked="f" strokeweight="1pt">
                <v:stroke miterlimit="4" joinstyle="miter"/>
                <v:textbox inset="4pt,4pt,4pt,4pt">
                  <w:txbxContent>
                    <w:p w14:paraId="5AF847AA" w14:textId="21ED6604" w:rsidR="00C66D98" w:rsidRPr="00C66D98" w:rsidRDefault="007027E3" w:rsidP="00C66D98">
                      <w:pPr>
                        <w:spacing w:after="0" w:line="240" w:lineRule="auto"/>
                        <w:jc w:val="center"/>
                        <w:rPr>
                          <w:rFonts w:ascii="Microsoft PhagsPa" w:eastAsia="Microsoft JhengHei UI" w:hAnsi="Microsoft PhagsPa" w:cs="Helvetica Neue Medium"/>
                          <w:b/>
                          <w:bCs/>
                          <w:color w:val="FFFFFF" w:themeColor="background1"/>
                          <w:kern w:val="24"/>
                          <w:sz w:val="16"/>
                          <w:szCs w:val="16"/>
                          <w:lang w:val="pt-PT"/>
                          <w14:ligatures w14:val="none"/>
                        </w:rPr>
                      </w:pPr>
                      <w:r>
                        <w:rPr>
                          <w:rFonts w:ascii="Microsoft PhagsPa" w:eastAsia="Microsoft JhengHei UI" w:hAnsi="Microsoft PhagsPa" w:cs="Helvetica Neue Medium"/>
                          <w:b/>
                          <w:bCs/>
                          <w:color w:val="FFFFFF" w:themeColor="background1"/>
                          <w:kern w:val="24"/>
                          <w:sz w:val="16"/>
                          <w:szCs w:val="16"/>
                          <w:lang w:val="pt-PT"/>
                        </w:rPr>
                        <w:t>DICAS</w:t>
                      </w:r>
                    </w:p>
                  </w:txbxContent>
                </v:textbox>
                <w10:wrap anchorx="margin"/>
              </v:roundrect>
            </w:pict>
          </mc:Fallback>
        </mc:AlternateContent>
      </w:r>
    </w:p>
    <w:p w14:paraId="75CC24E3" w14:textId="77777777" w:rsidR="00D8477D" w:rsidRPr="00D8477D" w:rsidRDefault="00D8477D" w:rsidP="00D8477D"/>
    <w:p w14:paraId="324B1A98" w14:textId="46371DF8" w:rsidR="00C66D98" w:rsidRDefault="008457AB" w:rsidP="00DF2C62">
      <w:pPr>
        <w:spacing w:after="80" w:line="264" w:lineRule="auto"/>
        <w:jc w:val="center"/>
        <w:rPr>
          <w:rFonts w:ascii="Microsoft PhagsPa" w:eastAsia="Microsoft JhengHei UI" w:hAnsi="Microsoft PhagsPa"/>
          <w:b/>
          <w:bCs/>
          <w:color w:val="0195C7"/>
          <w:sz w:val="40"/>
          <w:szCs w:val="40"/>
          <w:lang w:val="pt-PT"/>
        </w:rPr>
      </w:pPr>
      <w:r w:rsidRPr="008457AB">
        <w:rPr>
          <w:rFonts w:ascii="Microsoft PhagsPa" w:eastAsia="Microsoft JhengHei UI" w:hAnsi="Microsoft PhagsPa"/>
          <w:b/>
          <w:bCs/>
          <w:color w:val="0195C7"/>
          <w:sz w:val="40"/>
          <w:szCs w:val="40"/>
          <w:lang w:val="pt-PT"/>
        </w:rPr>
        <w:t>Checklist financeira antes de ir de férias</w:t>
      </w:r>
    </w:p>
    <w:p w14:paraId="25697B2D" w14:textId="77777777" w:rsidR="00DF7F0D" w:rsidRDefault="00DF7F0D" w:rsidP="00DF7F0D">
      <w:pPr>
        <w:spacing w:after="240" w:line="360" w:lineRule="auto"/>
        <w:ind w:left="357"/>
        <w:jc w:val="both"/>
        <w:rPr>
          <w:rFonts w:ascii="Microsoft PhagsPa" w:eastAsia="Microsoft JhengHei UI" w:hAnsi="Microsoft PhagsPa"/>
          <w:sz w:val="22"/>
          <w:szCs w:val="22"/>
          <w:lang w:val="pt-PT"/>
        </w:rPr>
      </w:pPr>
    </w:p>
    <w:p w14:paraId="13736F8E" w14:textId="77777777" w:rsidR="00BD2929" w:rsidRPr="00BD2929" w:rsidRDefault="00BD2929" w:rsidP="00BD2929">
      <w:pPr>
        <w:spacing w:after="240"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As férias representam, para muitas famílias, um dos momentos mais aguardados do ano. No entanto, além da escolha do destino, do alojamento ou das atividades, existe um aspeto que merece igual atenção: a preparação financeira da viagem.</w:t>
      </w:r>
    </w:p>
    <w:p w14:paraId="524CC154" w14:textId="77777777" w:rsidR="00BD2929" w:rsidRPr="00BD2929" w:rsidRDefault="00BD2929" w:rsidP="00BD2929">
      <w:pPr>
        <w:spacing w:after="240"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Um planeamento adequado pode ajudar a evitar gastos inesperados, reduzir preocupações durante o período de descanso e garantir que o regresso à rotina não traz dificuldades acrescidas para o orçamento familiar.</w:t>
      </w:r>
    </w:p>
    <w:p w14:paraId="26AA7420" w14:textId="43B5176C" w:rsidR="002F5B37" w:rsidRDefault="00D763C9" w:rsidP="00D763C9">
      <w:pPr>
        <w:spacing w:after="240" w:line="360" w:lineRule="auto"/>
        <w:ind w:left="357"/>
        <w:jc w:val="both"/>
        <w:rPr>
          <w:rFonts w:ascii="Microsoft PhagsPa" w:eastAsia="Microsoft JhengHei UI" w:hAnsi="Microsoft PhagsPa"/>
          <w:sz w:val="22"/>
          <w:szCs w:val="22"/>
          <w:lang w:val="pt-PT"/>
        </w:rPr>
      </w:pPr>
      <w:r w:rsidRPr="00D763C9">
        <w:rPr>
          <w:rFonts w:ascii="Microsoft PhagsPa" w:eastAsia="Microsoft JhengHei UI" w:hAnsi="Microsoft PhagsPa"/>
          <w:sz w:val="22"/>
          <w:szCs w:val="22"/>
          <w:lang w:val="pt-PT"/>
        </w:rPr>
        <w:t xml:space="preserve">A pensar </w:t>
      </w:r>
      <w:r w:rsidR="00CE7139" w:rsidRPr="00CE7139">
        <w:rPr>
          <w:rFonts w:ascii="Microsoft PhagsPa" w:eastAsia="Microsoft JhengHei UI" w:hAnsi="Microsoft PhagsPa"/>
          <w:sz w:val="22"/>
          <w:szCs w:val="22"/>
          <w:lang w:val="pt-PT"/>
        </w:rPr>
        <w:t xml:space="preserve">em quem </w:t>
      </w:r>
      <w:r w:rsidR="00BD2929">
        <w:rPr>
          <w:rFonts w:ascii="Microsoft PhagsPa" w:eastAsia="Microsoft JhengHei UI" w:hAnsi="Microsoft PhagsPa"/>
          <w:sz w:val="22"/>
          <w:szCs w:val="22"/>
          <w:lang w:val="pt-PT"/>
        </w:rPr>
        <w:t xml:space="preserve">está a preparar as férias de verão, </w:t>
      </w:r>
      <w:r w:rsidRPr="00D763C9">
        <w:rPr>
          <w:rFonts w:ascii="Microsoft PhagsPa" w:eastAsia="Microsoft JhengHei UI" w:hAnsi="Microsoft PhagsPa"/>
          <w:sz w:val="22"/>
          <w:szCs w:val="22"/>
          <w:lang w:val="pt-PT"/>
        </w:rPr>
        <w:t xml:space="preserve">o </w:t>
      </w:r>
      <w:hyperlink r:id="rId10" w:history="1">
        <w:r w:rsidRPr="00D763C9">
          <w:rPr>
            <w:rStyle w:val="Hiperligao"/>
            <w:rFonts w:ascii="Microsoft PhagsPa" w:eastAsia="Microsoft JhengHei UI" w:hAnsi="Microsoft PhagsPa"/>
            <w:sz w:val="22"/>
            <w:szCs w:val="22"/>
            <w:lang w:val="pt-PT"/>
          </w:rPr>
          <w:t>Doutor Finanças</w:t>
        </w:r>
      </w:hyperlink>
      <w:r w:rsidRPr="00D763C9">
        <w:rPr>
          <w:rFonts w:ascii="Microsoft PhagsPa" w:eastAsia="Microsoft JhengHei UI" w:hAnsi="Microsoft PhagsPa"/>
          <w:sz w:val="22"/>
          <w:szCs w:val="22"/>
          <w:lang w:val="pt-PT"/>
        </w:rPr>
        <w:t xml:space="preserve"> </w:t>
      </w:r>
      <w:r w:rsidR="00CE7139" w:rsidRPr="00CE7139">
        <w:rPr>
          <w:rFonts w:ascii="Microsoft PhagsPa" w:eastAsia="Microsoft JhengHei UI" w:hAnsi="Microsoft PhagsPa"/>
          <w:sz w:val="22"/>
          <w:szCs w:val="22"/>
          <w:lang w:val="pt-PT"/>
        </w:rPr>
        <w:t>reuniu</w:t>
      </w:r>
      <w:r w:rsidR="00BD2929">
        <w:rPr>
          <w:rFonts w:ascii="Microsoft PhagsPa" w:eastAsia="Microsoft JhengHei UI" w:hAnsi="Microsoft PhagsPa"/>
          <w:sz w:val="22"/>
          <w:szCs w:val="22"/>
          <w:lang w:val="pt-PT"/>
        </w:rPr>
        <w:t xml:space="preserve"> 10 dicas a ter em conta antes de </w:t>
      </w:r>
      <w:r w:rsidR="00BD2929" w:rsidRPr="00BD2929">
        <w:rPr>
          <w:rFonts w:ascii="Microsoft PhagsPa" w:eastAsia="Microsoft JhengHei UI" w:hAnsi="Microsoft PhagsPa"/>
          <w:sz w:val="22"/>
          <w:szCs w:val="22"/>
          <w:lang w:val="pt-PT"/>
        </w:rPr>
        <w:t>fazer as malas.</w:t>
      </w:r>
      <w:r w:rsidR="00CE7139" w:rsidRPr="00CE7139">
        <w:rPr>
          <w:rFonts w:ascii="Microsoft PhagsPa" w:eastAsia="Microsoft JhengHei UI" w:hAnsi="Microsoft PhagsPa"/>
          <w:sz w:val="22"/>
          <w:szCs w:val="22"/>
          <w:lang w:val="pt-PT"/>
        </w:rPr>
        <w:t xml:space="preserve"> </w:t>
      </w:r>
    </w:p>
    <w:p w14:paraId="3D20BE3B" w14:textId="4FF7BB13" w:rsidR="00DC411D" w:rsidRPr="0014328B" w:rsidRDefault="00BD2929" w:rsidP="0014328B">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Confirmar que as despesas correntes estão asseguradas</w:t>
      </w:r>
    </w:p>
    <w:p w14:paraId="1D9B24BE" w14:textId="4A014CFE" w:rsidR="00D8477D" w:rsidRPr="00D8477D" w:rsidRDefault="00BD2929" w:rsidP="00CE7139">
      <w:pPr>
        <w:spacing w:after="240" w:line="360" w:lineRule="auto"/>
        <w:ind w:left="426"/>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As férias não suspendem os encargos habituais. Prestação da casa, seguros, telecomunicações, créditos ou outras despesas regulares continuam a ter de ser pagas. Antes da viagem, é importante garantir que existe saldo suficiente para acomodar todos estes compromissos.</w:t>
      </w:r>
    </w:p>
    <w:p w14:paraId="5BF07517" w14:textId="6D8959E5" w:rsidR="0014328B" w:rsidRPr="00D763C9" w:rsidRDefault="00BD2929" w:rsidP="0014328B">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Definir um orçamento realista para a viagem</w:t>
      </w:r>
    </w:p>
    <w:p w14:paraId="6E131A33" w14:textId="39ED8048" w:rsidR="002F5B37" w:rsidRPr="002F5B37" w:rsidRDefault="00BD2929" w:rsidP="00D57F7F">
      <w:pPr>
        <w:spacing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O orçamento das férias deve incluir não apenas transporte e alojamento, mas também alimentação, atividades, deslocações locais, pequenos gastos diários e eventuais compras. Quanto mais detalhado for o planeamento, menor será o risco de derrapagens financeiras.</w:t>
      </w:r>
    </w:p>
    <w:p w14:paraId="30C668C8" w14:textId="1EF4E999" w:rsidR="00963E08" w:rsidRPr="0014328B" w:rsidRDefault="00BD2929" w:rsidP="00963E08">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Reservar uma margem para imprevistos</w:t>
      </w:r>
    </w:p>
    <w:p w14:paraId="4236A080" w14:textId="55AFA512" w:rsidR="00D8477D" w:rsidRPr="00D8477D" w:rsidRDefault="00BD2929" w:rsidP="00D57F7F">
      <w:pPr>
        <w:spacing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lastRenderedPageBreak/>
        <w:t>Problemas de saúde, atrasos em viagens, avarias ou despesas inesperadas podem surgir a qualquer momento. A existência de uma pequena almofada financeira permite responder a estas situações sem comprometer o orçamento definido para as férias.</w:t>
      </w:r>
      <w:r w:rsidR="00D8477D" w:rsidRPr="00D8477D">
        <w:rPr>
          <w:rFonts w:ascii="Microsoft PhagsPa" w:eastAsia="Microsoft JhengHei UI" w:hAnsi="Microsoft PhagsPa"/>
          <w:sz w:val="22"/>
          <w:szCs w:val="22"/>
          <w:lang w:val="pt-PT"/>
        </w:rPr>
        <w:t xml:space="preserve"> </w:t>
      </w:r>
    </w:p>
    <w:p w14:paraId="17D1A321" w14:textId="05AFD2E3" w:rsidR="00753D12" w:rsidRPr="0014328B" w:rsidRDefault="00BD2929" w:rsidP="00753D12">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Conhecer os custos associados aos meios de pagamento</w:t>
      </w:r>
    </w:p>
    <w:p w14:paraId="79A3D6FE" w14:textId="64C67D90" w:rsidR="00563C07" w:rsidRPr="00563C07" w:rsidRDefault="00BD2929" w:rsidP="00D57F7F">
      <w:pPr>
        <w:spacing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Quem viaja para o estrangeiro deve verificar antecipadamente as condições de utilização dos cartões bancários, incluindo comissões de levantamento, pagamentos internacionais e custos de conversão cambial.</w:t>
      </w:r>
    </w:p>
    <w:p w14:paraId="7C95BADF" w14:textId="3E1E7EC1" w:rsidR="00563C07" w:rsidRPr="009E5BCE" w:rsidRDefault="00BD2929" w:rsidP="00753D12">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Avaliar a necessidade de levar moeda local</w:t>
      </w:r>
    </w:p>
    <w:p w14:paraId="2D96498E" w14:textId="161B4ABE" w:rsidR="00CE7139" w:rsidRDefault="00BD2929" w:rsidP="00D57F7F">
      <w:pPr>
        <w:spacing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Embora os pagamentos digitais sejam cada vez mais comuns, existem destinos onde o numerário continua a ser amplamente utilizado. Conhecer os hábitos de pagamento do país de destino ajuda a evitar constrangimentos durante a viagem.</w:t>
      </w:r>
    </w:p>
    <w:p w14:paraId="377D02DC" w14:textId="76B182A4" w:rsidR="00BD2929" w:rsidRPr="009E5BCE" w:rsidRDefault="00BD2929" w:rsidP="00BD2929">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Rever as coberturas dos seguros</w:t>
      </w:r>
    </w:p>
    <w:p w14:paraId="51E38936" w14:textId="2B88ABD5" w:rsidR="00BD2929" w:rsidRDefault="000E4C70" w:rsidP="00D57F7F">
      <w:pPr>
        <w:spacing w:line="360" w:lineRule="auto"/>
        <w:ind w:left="357"/>
        <w:jc w:val="both"/>
        <w:rPr>
          <w:rFonts w:ascii="Microsoft PhagsPa" w:eastAsia="Microsoft JhengHei UI" w:hAnsi="Microsoft PhagsPa"/>
          <w:sz w:val="22"/>
          <w:szCs w:val="22"/>
          <w:lang w:val="pt-PT"/>
        </w:rPr>
      </w:pPr>
      <w:r w:rsidRPr="000E4C70">
        <w:rPr>
          <w:rFonts w:ascii="Microsoft PhagsPa" w:eastAsia="Microsoft JhengHei UI" w:hAnsi="Microsoft PhagsPa"/>
          <w:sz w:val="22"/>
          <w:szCs w:val="22"/>
          <w:lang w:val="pt-PT"/>
        </w:rPr>
        <w:t>Antes de contratar um seguro de viagem, é importante verificar se algumas coberturas já estão incluídas noutros produtos financeiros ou seguros existentes, como o seguro de saúde, o seguro automóvel, o cartão de crédito ou pacotes associados à conta bancária</w:t>
      </w:r>
      <w:r w:rsidR="00BD2929" w:rsidRPr="00BD2929">
        <w:rPr>
          <w:rFonts w:ascii="Microsoft PhagsPa" w:eastAsia="Microsoft JhengHei UI" w:hAnsi="Microsoft PhagsPa"/>
          <w:sz w:val="22"/>
          <w:szCs w:val="22"/>
          <w:lang w:val="pt-PT"/>
        </w:rPr>
        <w:t>. Assistência em viagem, despesas médicas ou proteção da bagagem são alguns exemplos a analisar.</w:t>
      </w:r>
    </w:p>
    <w:p w14:paraId="2113CDE9" w14:textId="57EF0D9D" w:rsidR="00BD2929" w:rsidRPr="009E5BCE" w:rsidRDefault="00BD2929" w:rsidP="00BD2929">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Solicitar o Cartão Europeu de Seguro de Doença</w:t>
      </w:r>
    </w:p>
    <w:p w14:paraId="0FCF2FB3" w14:textId="13A01EC0" w:rsidR="00BD2929" w:rsidRDefault="000E4C70" w:rsidP="00D57F7F">
      <w:pPr>
        <w:spacing w:line="360" w:lineRule="auto"/>
        <w:ind w:left="357"/>
        <w:jc w:val="both"/>
        <w:rPr>
          <w:rFonts w:ascii="Microsoft PhagsPa" w:eastAsia="Microsoft JhengHei UI" w:hAnsi="Microsoft PhagsPa"/>
          <w:sz w:val="22"/>
          <w:szCs w:val="22"/>
          <w:lang w:val="pt-PT"/>
        </w:rPr>
      </w:pPr>
      <w:r w:rsidRPr="000E4C70">
        <w:rPr>
          <w:rFonts w:ascii="Microsoft PhagsPa" w:eastAsia="Microsoft JhengHei UI" w:hAnsi="Microsoft PhagsPa"/>
          <w:sz w:val="22"/>
          <w:szCs w:val="22"/>
          <w:lang w:val="pt-PT"/>
        </w:rPr>
        <w:t>Nas viagens para países da União Europeia, Islândia, Liechtenstein, Noruega, Suíça ou Reino Unido, o Cartão Europeu de Seguro de Doença permite aceder aos serviços públicos de saúde nas mesmas condições dos residentes locais. Este cartão não substitui um seguro de viagem, até porque alguns cuidados podem implicar o pagamento de taxas ou comparticipações, mas funciona como um complemento importante em caso de necessidade de assistência médica durante a estadia.</w:t>
      </w:r>
    </w:p>
    <w:p w14:paraId="1A65A784" w14:textId="5605631D" w:rsidR="00BD2929" w:rsidRPr="009E5BCE" w:rsidRDefault="00BD2929" w:rsidP="00BD2929">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Confirmar as condições de roaming</w:t>
      </w:r>
    </w:p>
    <w:p w14:paraId="48D8435A" w14:textId="209A2F7F" w:rsidR="00BD2929" w:rsidRDefault="000E4C70" w:rsidP="00D57F7F">
      <w:pPr>
        <w:spacing w:line="360" w:lineRule="auto"/>
        <w:ind w:left="357"/>
        <w:jc w:val="both"/>
        <w:rPr>
          <w:rFonts w:ascii="Microsoft PhagsPa" w:eastAsia="Microsoft JhengHei UI" w:hAnsi="Microsoft PhagsPa"/>
          <w:sz w:val="22"/>
          <w:szCs w:val="22"/>
          <w:lang w:val="pt-PT"/>
        </w:rPr>
      </w:pPr>
      <w:r w:rsidRPr="000E4C70">
        <w:rPr>
          <w:rFonts w:ascii="Microsoft PhagsPa" w:eastAsia="Microsoft JhengHei UI" w:hAnsi="Microsoft PhagsPa"/>
          <w:sz w:val="22"/>
          <w:szCs w:val="22"/>
          <w:lang w:val="pt-PT"/>
        </w:rPr>
        <w:lastRenderedPageBreak/>
        <w:t>A utilização do telemóvel no estrangeiro pode gerar custos significativos, sobretudo em destinos fora da União Europeia. Antes da partida, deve</w:t>
      </w:r>
      <w:r w:rsidR="00AC5251">
        <w:rPr>
          <w:rFonts w:ascii="Microsoft PhagsPa" w:eastAsia="Microsoft JhengHei UI" w:hAnsi="Microsoft PhagsPa"/>
          <w:sz w:val="22"/>
          <w:szCs w:val="22"/>
          <w:lang w:val="pt-PT"/>
        </w:rPr>
        <w:t>m</w:t>
      </w:r>
      <w:r w:rsidRPr="000E4C70">
        <w:rPr>
          <w:rFonts w:ascii="Microsoft PhagsPa" w:eastAsia="Microsoft JhengHei UI" w:hAnsi="Microsoft PhagsPa"/>
          <w:sz w:val="22"/>
          <w:szCs w:val="22"/>
          <w:lang w:val="pt-PT"/>
        </w:rPr>
        <w:t xml:space="preserve"> ser confirmadas as condições do tarifário, incluindo chamadas, mensagens e plafond de dados móveis disponível em roaming. Em alguns casos, poderá fazer sentido contratar um pacote específico, utilizar um eSIM ou privilegiar redes wi-fi seguras, evitando operações sensíveis, como acessos bancários, em redes públicas.</w:t>
      </w:r>
    </w:p>
    <w:p w14:paraId="2B9CA9B7" w14:textId="16E273DD" w:rsidR="00BD2929" w:rsidRPr="00BD2929" w:rsidRDefault="00BD2929" w:rsidP="00BD2929">
      <w:pPr>
        <w:pStyle w:val="PargrafodaLista"/>
        <w:numPr>
          <w:ilvl w:val="0"/>
          <w:numId w:val="4"/>
        </w:numPr>
        <w:spacing w:after="240" w:line="360" w:lineRule="auto"/>
        <w:jc w:val="both"/>
        <w:rPr>
          <w:rFonts w:ascii="Microsoft PhagsPa" w:eastAsia="Microsoft JhengHei UI" w:hAnsi="Microsoft PhagsPa"/>
          <w:lang w:val="pt-PT"/>
        </w:rPr>
      </w:pPr>
      <w:r w:rsidRPr="00BD2929">
        <w:rPr>
          <w:rFonts w:ascii="Microsoft PhagsPa" w:eastAsia="Microsoft JhengHei UI" w:hAnsi="Microsoft PhagsPa"/>
          <w:b/>
          <w:bCs/>
          <w:color w:val="0195C7"/>
          <w:lang w:val="pt-PT"/>
        </w:rPr>
        <w:t>Acompanhar os gastos durante as férias</w:t>
      </w:r>
    </w:p>
    <w:p w14:paraId="6C848F28" w14:textId="6BD1A1E5" w:rsidR="00BD2929" w:rsidRDefault="000E4C70" w:rsidP="00D57F7F">
      <w:pPr>
        <w:spacing w:line="360" w:lineRule="auto"/>
        <w:ind w:left="357"/>
        <w:jc w:val="both"/>
        <w:rPr>
          <w:rFonts w:ascii="Microsoft PhagsPa" w:eastAsia="Microsoft JhengHei UI" w:hAnsi="Microsoft PhagsPa"/>
          <w:sz w:val="22"/>
          <w:szCs w:val="22"/>
          <w:lang w:val="pt-PT"/>
        </w:rPr>
      </w:pPr>
      <w:r w:rsidRPr="000E4C70">
        <w:rPr>
          <w:rFonts w:ascii="Microsoft PhagsPa" w:eastAsia="Microsoft JhengHei UI" w:hAnsi="Microsoft PhagsPa"/>
          <w:sz w:val="22"/>
          <w:szCs w:val="22"/>
          <w:lang w:val="pt-PT"/>
        </w:rPr>
        <w:t>Registar as despesas ao longo da viagem permite perceber se os gastos estão alinhados com o orçamento inicialmente previsto. Pequenas despesas diárias, como cafés, gelados, snacks, transportes ocasionais ou compras pontuais, podem parecer pouco relevantes isoladamente, mas ter impacto no valor final. A utilização de uma aplicação, folha de cálculo ou simples nota no telemóvel pode ajudar a manter maior controlo financeiro durante as férias.</w:t>
      </w:r>
    </w:p>
    <w:p w14:paraId="46CBCFC3" w14:textId="0E829D0B" w:rsidR="00BD2929" w:rsidRPr="00BD2929" w:rsidRDefault="00BD2929" w:rsidP="00BD2929">
      <w:pPr>
        <w:spacing w:after="80" w:line="360" w:lineRule="auto"/>
        <w:ind w:left="357"/>
        <w:jc w:val="both"/>
        <w:rPr>
          <w:rFonts w:ascii="Microsoft PhagsPa" w:eastAsia="Microsoft JhengHei UI" w:hAnsi="Microsoft PhagsPa"/>
          <w:b/>
          <w:bCs/>
          <w:color w:val="0195C7"/>
          <w:lang w:val="pt-PT"/>
        </w:rPr>
      </w:pPr>
      <w:r w:rsidRPr="00BD2929">
        <w:rPr>
          <w:rFonts w:ascii="Microsoft PhagsPa" w:eastAsia="Microsoft JhengHei UI" w:hAnsi="Microsoft PhagsPa"/>
          <w:b/>
          <w:bCs/>
          <w:color w:val="0195C7"/>
          <w:lang w:val="pt-PT"/>
        </w:rPr>
        <w:t xml:space="preserve">10) </w:t>
      </w:r>
      <w:r>
        <w:rPr>
          <w:rFonts w:ascii="Microsoft PhagsPa" w:eastAsia="Microsoft JhengHei UI" w:hAnsi="Microsoft PhagsPa"/>
          <w:b/>
          <w:bCs/>
          <w:color w:val="0195C7"/>
          <w:lang w:val="pt-PT"/>
        </w:rPr>
        <w:t xml:space="preserve"> </w:t>
      </w:r>
      <w:r w:rsidRPr="00BD2929">
        <w:rPr>
          <w:rFonts w:ascii="Microsoft PhagsPa" w:eastAsia="Microsoft JhengHei UI" w:hAnsi="Microsoft PhagsPa"/>
          <w:b/>
          <w:bCs/>
          <w:color w:val="0195C7"/>
          <w:lang w:val="pt-PT"/>
        </w:rPr>
        <w:t>Preparar financeiramente o regresso</w:t>
      </w:r>
    </w:p>
    <w:p w14:paraId="5A81E2CD" w14:textId="77777777" w:rsidR="00BD2929" w:rsidRPr="00BD2929" w:rsidRDefault="00BD2929" w:rsidP="00BD2929">
      <w:pPr>
        <w:spacing w:after="80"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O período pós-férias coincide frequentemente com despesas adicionais, como material escolar, manutenção da habitação ou reparações do automóvel. Antecipar estes encargos ajuda a preservar o equilíbrio financeiro nos meses seguintes.</w:t>
      </w:r>
    </w:p>
    <w:p w14:paraId="03B52781" w14:textId="77777777" w:rsidR="00BD2929" w:rsidRPr="00BD2929" w:rsidRDefault="00BD2929" w:rsidP="00BD2929">
      <w:pPr>
        <w:spacing w:after="80"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Mais do que um período de descanso, as férias representam também um momento que exige preparação e planeamento. Uma checklist financeira simples pode contribuir para reduzir preocupações, evitar imprevistos e garantir que o regresso à rotina decorre com maior tranquilidade.</w:t>
      </w:r>
    </w:p>
    <w:p w14:paraId="08ED3F72" w14:textId="1015A74E" w:rsidR="00F17236" w:rsidRDefault="00BD2929" w:rsidP="00BD2929">
      <w:pPr>
        <w:spacing w:after="80" w:line="360" w:lineRule="auto"/>
        <w:ind w:left="357"/>
        <w:jc w:val="both"/>
        <w:rPr>
          <w:rFonts w:ascii="Microsoft PhagsPa" w:eastAsia="Microsoft JhengHei UI" w:hAnsi="Microsoft PhagsPa"/>
          <w:sz w:val="22"/>
          <w:szCs w:val="22"/>
          <w:lang w:val="pt-PT"/>
        </w:rPr>
      </w:pPr>
      <w:r w:rsidRPr="00BD2929">
        <w:rPr>
          <w:rFonts w:ascii="Microsoft PhagsPa" w:eastAsia="Microsoft JhengHei UI" w:hAnsi="Microsoft PhagsPa"/>
          <w:sz w:val="22"/>
          <w:szCs w:val="22"/>
          <w:lang w:val="pt-PT"/>
        </w:rPr>
        <w:t>O artigo completo “</w:t>
      </w:r>
      <w:hyperlink r:id="rId11" w:history="1">
        <w:r w:rsidRPr="00BD2929">
          <w:rPr>
            <w:rStyle w:val="Hiperligao"/>
            <w:rFonts w:ascii="Microsoft PhagsPa" w:eastAsia="Microsoft JhengHei UI" w:hAnsi="Microsoft PhagsPa"/>
            <w:sz w:val="22"/>
            <w:szCs w:val="22"/>
            <w:lang w:val="pt-PT"/>
          </w:rPr>
          <w:t>Vai de férias? Veja 10 pontos que não devem faltar na sua checklist financeira</w:t>
        </w:r>
      </w:hyperlink>
      <w:r w:rsidRPr="00BD2929">
        <w:rPr>
          <w:rFonts w:ascii="Microsoft PhagsPa" w:eastAsia="Microsoft JhengHei UI" w:hAnsi="Microsoft PhagsPa"/>
          <w:sz w:val="22"/>
          <w:szCs w:val="22"/>
          <w:lang w:val="pt-PT"/>
        </w:rPr>
        <w:t>” está disponível no portal do Doutor Finanças, com informação detalhada sobre orçamento, meios de pagamento, seguros, roaming, despesas imprevistas e outros aspetos financeiros a acautelar antes, durante e depois das férias.</w:t>
      </w:r>
    </w:p>
    <w:p w14:paraId="5133A02D" w14:textId="77777777" w:rsidR="00D249E0" w:rsidRDefault="00D249E0" w:rsidP="00324ABF">
      <w:pPr>
        <w:spacing w:after="80" w:line="360" w:lineRule="auto"/>
        <w:ind w:left="357"/>
        <w:jc w:val="both"/>
        <w:rPr>
          <w:rFonts w:ascii="Microsoft PhagsPa" w:eastAsia="Microsoft JhengHei UI" w:hAnsi="Microsoft PhagsPa"/>
          <w:b/>
          <w:bCs/>
          <w:color w:val="0195C7"/>
          <w:sz w:val="18"/>
          <w:szCs w:val="18"/>
          <w:lang w:val="pt-PT"/>
        </w:rPr>
      </w:pPr>
    </w:p>
    <w:p w14:paraId="62776A1C" w14:textId="6CE361E7" w:rsidR="002E2AE9" w:rsidRPr="002E2AE9" w:rsidRDefault="002E2AE9" w:rsidP="002E2AE9">
      <w:pPr>
        <w:spacing w:after="80" w:line="360" w:lineRule="auto"/>
        <w:ind w:left="357"/>
        <w:jc w:val="both"/>
        <w:rPr>
          <w:rFonts w:ascii="Microsoft PhagsPa" w:eastAsia="Microsoft JhengHei UI" w:hAnsi="Microsoft PhagsPa"/>
          <w:b/>
          <w:bCs/>
          <w:color w:val="0195C7"/>
          <w:sz w:val="18"/>
          <w:szCs w:val="18"/>
          <w:lang w:val="pt-PT"/>
        </w:rPr>
      </w:pPr>
      <w:r w:rsidRPr="002E2AE9">
        <w:rPr>
          <w:rFonts w:ascii="Microsoft PhagsPa" w:eastAsia="Microsoft JhengHei UI" w:hAnsi="Microsoft PhagsPa"/>
          <w:b/>
          <w:bCs/>
          <w:color w:val="0195C7"/>
          <w:sz w:val="18"/>
          <w:szCs w:val="18"/>
          <w:lang w:val="pt-PT"/>
        </w:rPr>
        <w:t>Sobre o Doutor Finanças</w:t>
      </w:r>
    </w:p>
    <w:p w14:paraId="51644796"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lastRenderedPageBreak/>
        <w:t xml:space="preserve">O Doutor Finanças é uma fintech especializada na área do bem-estar financeiro, que ajuda as pessoas a tomar melhores decisões financeiras sobre crédito habitação, crédito pessoal e seguros. No mercado desde 2014, faz a ligação entre clientes e instituições financeiras, oferecendo análise, negociação e acompanhamento sem custos. O especialista fechou 2025 com um volume de negócios de 24 milhões de euros, num ano em que foi responsável por 748 milhões de euros em crédito habitação e por mais de 14 mil apólices de seguros, tendo ajudado mais de 200 mil pessoas, através da melhoria das suas condições financeiras. </w:t>
      </w:r>
    </w:p>
    <w:p w14:paraId="0F1B1A64"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Além disso, disponibiliza um portal com 16 milhões de visitas, onde são disponibilizados conteúdos para promover uma vida financeira saudável, bem como uma academia de formação especializada responsável por capacitar, em 2024, mais de 20 mil portugueses em finanças pessoais. </w:t>
      </w:r>
    </w:p>
    <w:p w14:paraId="1DD01A17" w14:textId="77777777" w:rsidR="006C15EC" w:rsidRPr="006C15EC"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O Doutor Finanças conta com uma equipa com mais de 700 colaboradores, dos quais mais de 420 são especialistas focados na rede de lojas espalhadas de norte a sul do país, incluindo ilhas. O Doutor Finanças destaca-se como uma Fintech de referência, tendo sido reconhecida no Technology Fast 50 da Deloitte, distinguida como Great Place to Work desde 2021 e com a sua Rede de franchising tendo sido galardoada com o 3º lugar enquanto marca de franchising emergente da Europa, pela Federação Europeia de Franchising.</w:t>
      </w:r>
    </w:p>
    <w:p w14:paraId="64F47BC8" w14:textId="19B7E0DD" w:rsidR="002E2AE9" w:rsidRPr="00515FFA" w:rsidRDefault="006C15EC" w:rsidP="006C15EC">
      <w:pPr>
        <w:spacing w:after="120" w:line="360" w:lineRule="auto"/>
        <w:ind w:left="357"/>
        <w:jc w:val="both"/>
        <w:rPr>
          <w:rFonts w:ascii="Microsoft PhagsPa" w:eastAsia="Microsoft JhengHei UI" w:hAnsi="Microsoft PhagsPa"/>
          <w:color w:val="404040" w:themeColor="text1" w:themeTint="BF"/>
          <w:sz w:val="18"/>
          <w:szCs w:val="18"/>
          <w:lang w:val="pt-PT"/>
        </w:rPr>
      </w:pPr>
      <w:r w:rsidRPr="006C15EC">
        <w:rPr>
          <w:rFonts w:ascii="Microsoft PhagsPa" w:eastAsia="Microsoft JhengHei UI" w:hAnsi="Microsoft PhagsPa"/>
          <w:color w:val="404040" w:themeColor="text1" w:themeTint="BF"/>
          <w:sz w:val="18"/>
          <w:szCs w:val="18"/>
          <w:lang w:val="pt-PT"/>
        </w:rPr>
        <w:t xml:space="preserve">É possível aceder aos serviços do Doutor Finanças através do seu portal e das 100 lojas espalhadas por todo o território nacional. Mais informação em: </w:t>
      </w:r>
      <w:hyperlink r:id="rId12" w:history="1">
        <w:r w:rsidRPr="00441286">
          <w:rPr>
            <w:rStyle w:val="Hiperligao"/>
            <w:rFonts w:ascii="Microsoft PhagsPa" w:eastAsia="Microsoft JhengHei UI" w:hAnsi="Microsoft PhagsPa"/>
            <w:sz w:val="18"/>
            <w:szCs w:val="18"/>
            <w:lang w:val="pt-PT"/>
          </w:rPr>
          <w:t>www.doutorfinancas.pt/sobre-doutor-financas/</w:t>
        </w:r>
      </w:hyperlink>
      <w:r>
        <w:rPr>
          <w:rFonts w:ascii="Microsoft PhagsPa" w:eastAsia="Microsoft JhengHei UI" w:hAnsi="Microsoft PhagsPa"/>
          <w:color w:val="404040" w:themeColor="text1" w:themeTint="BF"/>
          <w:sz w:val="18"/>
          <w:szCs w:val="18"/>
          <w:lang w:val="pt-PT"/>
        </w:rPr>
        <w:t xml:space="preserve"> </w:t>
      </w:r>
      <w:r w:rsidR="007A34B5" w:rsidRPr="007A34B5">
        <w:rPr>
          <w:rFonts w:ascii="Microsoft PhagsPa" w:eastAsia="Microsoft JhengHei UI" w:hAnsi="Microsoft PhagsPa"/>
          <w:color w:val="404040" w:themeColor="text1" w:themeTint="BF"/>
          <w:sz w:val="18"/>
          <w:szCs w:val="18"/>
          <w:lang w:val="pt-PT"/>
        </w:rPr>
        <w:t> </w:t>
      </w:r>
    </w:p>
    <w:p w14:paraId="392A25EA" w14:textId="77777777" w:rsidR="00515FFA" w:rsidRDefault="00515FFA" w:rsidP="002E2AE9">
      <w:pPr>
        <w:spacing w:after="80" w:line="360" w:lineRule="auto"/>
        <w:ind w:left="357"/>
        <w:jc w:val="both"/>
        <w:rPr>
          <w:rFonts w:ascii="Microsoft PhagsPa" w:eastAsia="Microsoft JhengHei UI" w:hAnsi="Microsoft PhagsPa"/>
          <w:b/>
          <w:bCs/>
          <w:color w:val="0195C7"/>
          <w:sz w:val="18"/>
          <w:szCs w:val="18"/>
          <w:lang w:val="pt-PT"/>
        </w:rPr>
      </w:pPr>
    </w:p>
    <w:p w14:paraId="3F255ABE" w14:textId="5B0064DC" w:rsidR="002E2AE9" w:rsidRPr="002E2AE9" w:rsidRDefault="002E2AE9" w:rsidP="002E2AE9">
      <w:pPr>
        <w:spacing w:after="80" w:line="360" w:lineRule="auto"/>
        <w:ind w:left="357"/>
        <w:jc w:val="both"/>
        <w:rPr>
          <w:rFonts w:ascii="Microsoft PhagsPa" w:eastAsia="Microsoft JhengHei UI" w:hAnsi="Microsoft PhagsPa"/>
          <w:b/>
          <w:bCs/>
          <w:color w:val="0195C7"/>
          <w:sz w:val="18"/>
          <w:szCs w:val="18"/>
          <w:lang w:val="pt-PT"/>
        </w:rPr>
      </w:pPr>
      <w:r w:rsidRPr="002E2AE9">
        <w:rPr>
          <w:rFonts w:ascii="Microsoft PhagsPa" w:eastAsia="Microsoft JhengHei UI" w:hAnsi="Microsoft PhagsPa"/>
          <w:b/>
          <w:bCs/>
          <w:color w:val="0195C7"/>
          <w:sz w:val="18"/>
          <w:szCs w:val="18"/>
          <w:lang w:val="pt-PT"/>
        </w:rPr>
        <w:t>Contactos para a Comunicação Social</w:t>
      </w:r>
    </w:p>
    <w:p w14:paraId="1B61C54D" w14:textId="534EF414" w:rsidR="002E2AE9" w:rsidRPr="00A531A2" w:rsidRDefault="002E2AE9" w:rsidP="002E2AE9">
      <w:pPr>
        <w:spacing w:after="40" w:line="360" w:lineRule="auto"/>
        <w:ind w:left="357"/>
        <w:jc w:val="both"/>
        <w:rPr>
          <w:rFonts w:ascii="Microsoft PhagsPa" w:eastAsia="Microsoft JhengHei UI" w:hAnsi="Microsoft PhagsPa"/>
          <w:color w:val="404040" w:themeColor="text1" w:themeTint="BF"/>
          <w:sz w:val="18"/>
          <w:szCs w:val="18"/>
          <w:u w:val="single"/>
          <w:lang w:val="it-IT"/>
        </w:rPr>
      </w:pPr>
      <w:r w:rsidRPr="00A531A2">
        <w:rPr>
          <w:rFonts w:ascii="Microsoft PhagsPa" w:eastAsia="Microsoft JhengHei UI" w:hAnsi="Microsoft PhagsPa"/>
          <w:color w:val="404040" w:themeColor="text1" w:themeTint="BF"/>
          <w:sz w:val="18"/>
          <w:szCs w:val="18"/>
          <w:u w:val="single"/>
          <w:lang w:val="it-IT"/>
        </w:rPr>
        <w:t>Lift Consulting</w:t>
      </w:r>
    </w:p>
    <w:p w14:paraId="31C726FB" w14:textId="3484D0C9" w:rsidR="002E2AE9" w:rsidRDefault="000C7ECF" w:rsidP="002E2AE9">
      <w:pPr>
        <w:spacing w:after="40" w:line="360" w:lineRule="auto"/>
        <w:ind w:left="357"/>
        <w:jc w:val="both"/>
        <w:rPr>
          <w:rFonts w:ascii="Microsoft PhagsPa" w:eastAsia="Microsoft JhengHei UI" w:hAnsi="Microsoft PhagsPa"/>
          <w:color w:val="404040" w:themeColor="text1" w:themeTint="BF"/>
          <w:sz w:val="18"/>
          <w:szCs w:val="18"/>
          <w:lang w:val="it-IT"/>
        </w:rPr>
      </w:pPr>
      <w:r>
        <w:rPr>
          <w:rFonts w:ascii="Microsoft PhagsPa" w:eastAsia="Microsoft JhengHei UI" w:hAnsi="Microsoft PhagsPa"/>
          <w:color w:val="404040" w:themeColor="text1" w:themeTint="BF"/>
          <w:sz w:val="18"/>
          <w:szCs w:val="18"/>
          <w:lang w:val="it-IT"/>
        </w:rPr>
        <w:t>Raquel Rogeiro</w:t>
      </w:r>
      <w:r w:rsidR="002E2AE9" w:rsidRPr="000C7ECF">
        <w:rPr>
          <w:rFonts w:ascii="Microsoft PhagsPa" w:eastAsia="Microsoft JhengHei UI" w:hAnsi="Microsoft PhagsPa"/>
          <w:color w:val="404040" w:themeColor="text1" w:themeTint="BF"/>
          <w:sz w:val="18"/>
          <w:szCs w:val="18"/>
          <w:lang w:val="it-IT"/>
        </w:rPr>
        <w:t xml:space="preserve"> | </w:t>
      </w:r>
      <w:hyperlink r:id="rId13" w:history="1">
        <w:r>
          <w:rPr>
            <w:rStyle w:val="Hiperligao"/>
            <w:rFonts w:ascii="Microsoft PhagsPa" w:eastAsia="Microsoft JhengHei UI" w:hAnsi="Microsoft PhagsPa"/>
            <w:color w:val="404040" w:themeColor="text1" w:themeTint="BF"/>
            <w:sz w:val="18"/>
            <w:szCs w:val="18"/>
            <w:lang w:val="it-IT"/>
          </w:rPr>
          <w:t>raquel.rogeiro@lift.com.pt</w:t>
        </w:r>
      </w:hyperlink>
      <w:r w:rsidR="002E2AE9" w:rsidRPr="000C7ECF">
        <w:rPr>
          <w:rFonts w:ascii="Microsoft PhagsPa" w:eastAsia="Microsoft JhengHei UI" w:hAnsi="Microsoft PhagsPa"/>
          <w:color w:val="404040" w:themeColor="text1" w:themeTint="BF"/>
          <w:sz w:val="18"/>
          <w:szCs w:val="18"/>
          <w:lang w:val="it-IT"/>
        </w:rPr>
        <w:t xml:space="preserve"> | </w:t>
      </w:r>
      <w:r w:rsidRPr="000C7ECF">
        <w:rPr>
          <w:rFonts w:ascii="Microsoft PhagsPa" w:eastAsia="Microsoft JhengHei UI" w:hAnsi="Microsoft PhagsPa"/>
          <w:color w:val="404040" w:themeColor="text1" w:themeTint="BF"/>
          <w:sz w:val="18"/>
          <w:szCs w:val="18"/>
          <w:lang w:val="it-IT"/>
        </w:rPr>
        <w:t>910 7</w:t>
      </w:r>
      <w:r w:rsidR="00BA2A9F">
        <w:rPr>
          <w:rFonts w:ascii="Microsoft PhagsPa" w:eastAsia="Microsoft JhengHei UI" w:hAnsi="Microsoft PhagsPa"/>
          <w:color w:val="404040" w:themeColor="text1" w:themeTint="BF"/>
          <w:sz w:val="18"/>
          <w:szCs w:val="18"/>
          <w:lang w:val="it-IT"/>
        </w:rPr>
        <w:t>6</w:t>
      </w:r>
      <w:r w:rsidRPr="000C7ECF">
        <w:rPr>
          <w:rFonts w:ascii="Microsoft PhagsPa" w:eastAsia="Microsoft JhengHei UI" w:hAnsi="Microsoft PhagsPa"/>
          <w:color w:val="404040" w:themeColor="text1" w:themeTint="BF"/>
          <w:sz w:val="18"/>
          <w:szCs w:val="18"/>
          <w:lang w:val="it-IT"/>
        </w:rPr>
        <w:t>7</w:t>
      </w:r>
      <w:r w:rsidR="006C15EC">
        <w:rPr>
          <w:rFonts w:ascii="Microsoft PhagsPa" w:eastAsia="Microsoft JhengHei UI" w:hAnsi="Microsoft PhagsPa"/>
          <w:color w:val="404040" w:themeColor="text1" w:themeTint="BF"/>
          <w:sz w:val="18"/>
          <w:szCs w:val="18"/>
          <w:lang w:val="it-IT"/>
        </w:rPr>
        <w:t> </w:t>
      </w:r>
      <w:r w:rsidRPr="000C7ECF">
        <w:rPr>
          <w:rFonts w:ascii="Microsoft PhagsPa" w:eastAsia="Microsoft JhengHei UI" w:hAnsi="Microsoft PhagsPa"/>
          <w:color w:val="404040" w:themeColor="text1" w:themeTint="BF"/>
          <w:sz w:val="18"/>
          <w:szCs w:val="18"/>
          <w:lang w:val="it-IT"/>
        </w:rPr>
        <w:t>719</w:t>
      </w:r>
    </w:p>
    <w:p w14:paraId="51B0FEB4" w14:textId="664A85EF" w:rsidR="006C15EC" w:rsidRPr="000C7ECF" w:rsidRDefault="006C15EC" w:rsidP="002E2AE9">
      <w:pPr>
        <w:spacing w:after="40" w:line="360" w:lineRule="auto"/>
        <w:ind w:left="357"/>
        <w:jc w:val="both"/>
        <w:rPr>
          <w:rFonts w:ascii="Microsoft PhagsPa" w:eastAsia="Microsoft JhengHei UI" w:hAnsi="Microsoft PhagsPa"/>
          <w:color w:val="404040" w:themeColor="text1" w:themeTint="BF"/>
          <w:sz w:val="18"/>
          <w:szCs w:val="18"/>
          <w:lang w:val="it-IT"/>
        </w:rPr>
      </w:pPr>
      <w:r w:rsidRPr="00431E95">
        <w:rPr>
          <w:rFonts w:ascii="Microsoft PhagsPa" w:eastAsia="Microsoft JhengHei UI" w:hAnsi="Microsoft PhagsPa"/>
          <w:color w:val="404040" w:themeColor="text1" w:themeTint="BF"/>
          <w:sz w:val="18"/>
          <w:szCs w:val="18"/>
          <w:lang w:val="it-IT"/>
        </w:rPr>
        <w:t xml:space="preserve">Miguel Carrilho | </w:t>
      </w:r>
      <w:hyperlink r:id="rId14">
        <w:r w:rsidRPr="00431E95">
          <w:rPr>
            <w:rFonts w:ascii="Microsoft PhagsPa" w:eastAsia="Microsoft JhengHei UI" w:hAnsi="Microsoft PhagsPa"/>
            <w:color w:val="404040" w:themeColor="text1" w:themeTint="BF"/>
            <w:sz w:val="18"/>
            <w:szCs w:val="18"/>
            <w:u w:val="single"/>
            <w:lang w:val="it-IT"/>
          </w:rPr>
          <w:t>miguel.carrilho@lift.com.pt</w:t>
        </w:r>
      </w:hyperlink>
      <w:r w:rsidRPr="00431E95">
        <w:rPr>
          <w:rFonts w:ascii="Microsoft PhagsPa" w:eastAsia="Microsoft JhengHei UI" w:hAnsi="Microsoft PhagsPa"/>
          <w:color w:val="404040" w:themeColor="text1" w:themeTint="BF"/>
          <w:sz w:val="18"/>
          <w:szCs w:val="18"/>
          <w:lang w:val="it-IT"/>
        </w:rPr>
        <w:t xml:space="preserve"> | 967 777</w:t>
      </w:r>
      <w:r>
        <w:rPr>
          <w:rFonts w:ascii="Microsoft PhagsPa" w:eastAsia="Microsoft JhengHei UI" w:hAnsi="Microsoft PhagsPa"/>
          <w:color w:val="404040" w:themeColor="text1" w:themeTint="BF"/>
          <w:sz w:val="18"/>
          <w:szCs w:val="18"/>
          <w:lang w:val="it-IT"/>
        </w:rPr>
        <w:t> </w:t>
      </w:r>
      <w:r w:rsidRPr="00431E95">
        <w:rPr>
          <w:rFonts w:ascii="Microsoft PhagsPa" w:eastAsia="Microsoft JhengHei UI" w:hAnsi="Microsoft PhagsPa"/>
          <w:color w:val="404040" w:themeColor="text1" w:themeTint="BF"/>
          <w:sz w:val="18"/>
          <w:szCs w:val="18"/>
          <w:lang w:val="it-IT"/>
        </w:rPr>
        <w:t>714</w:t>
      </w:r>
    </w:p>
    <w:sectPr w:rsidR="006C15EC" w:rsidRPr="000C7ECF" w:rsidSect="00C66D98">
      <w:headerReference w:type="default" r:id="rId15"/>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41C3" w14:textId="77777777" w:rsidR="00D637E4" w:rsidRDefault="00D637E4" w:rsidP="00C66D98">
      <w:pPr>
        <w:spacing w:after="0" w:line="240" w:lineRule="auto"/>
      </w:pPr>
      <w:r>
        <w:separator/>
      </w:r>
    </w:p>
  </w:endnote>
  <w:endnote w:type="continuationSeparator" w:id="0">
    <w:p w14:paraId="244F9D6E" w14:textId="77777777" w:rsidR="00D637E4" w:rsidRDefault="00D637E4" w:rsidP="00C66D98">
      <w:pPr>
        <w:spacing w:after="0" w:line="240" w:lineRule="auto"/>
      </w:pPr>
      <w:r>
        <w:continuationSeparator/>
      </w:r>
    </w:p>
  </w:endnote>
  <w:endnote w:type="continuationNotice" w:id="1">
    <w:p w14:paraId="3BB751D4" w14:textId="77777777" w:rsidR="00D637E4" w:rsidRDefault="00D637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PhagsPa">
    <w:panose1 w:val="020B0502040204020203"/>
    <w:charset w:val="00"/>
    <w:family w:val="swiss"/>
    <w:pitch w:val="variable"/>
    <w:sig w:usb0="00000003" w:usb1="00000000" w:usb2="08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Helvetica Neue Medium">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C1BD" w14:textId="77777777" w:rsidR="00D637E4" w:rsidRDefault="00D637E4" w:rsidP="00C66D98">
      <w:pPr>
        <w:spacing w:after="0" w:line="240" w:lineRule="auto"/>
      </w:pPr>
      <w:r>
        <w:separator/>
      </w:r>
    </w:p>
  </w:footnote>
  <w:footnote w:type="continuationSeparator" w:id="0">
    <w:p w14:paraId="1CA9D1E8" w14:textId="77777777" w:rsidR="00D637E4" w:rsidRDefault="00D637E4" w:rsidP="00C66D98">
      <w:pPr>
        <w:spacing w:after="0" w:line="240" w:lineRule="auto"/>
      </w:pPr>
      <w:r>
        <w:continuationSeparator/>
      </w:r>
    </w:p>
  </w:footnote>
  <w:footnote w:type="continuationNotice" w:id="1">
    <w:p w14:paraId="569D392F" w14:textId="77777777" w:rsidR="00D637E4" w:rsidRDefault="00D637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F6EF" w14:textId="5EFE3FFB" w:rsidR="00C66D98" w:rsidRDefault="00C66D98">
    <w:pPr>
      <w:pStyle w:val="Cabealho"/>
    </w:pPr>
    <w:r w:rsidRPr="00C66D98">
      <w:rPr>
        <w:noProof/>
      </w:rPr>
      <w:drawing>
        <wp:anchor distT="0" distB="0" distL="114300" distR="114300" simplePos="0" relativeHeight="251658240" behindDoc="0" locked="0" layoutInCell="1" allowOverlap="1" wp14:anchorId="57C2237E" wp14:editId="33C1D526">
          <wp:simplePos x="0" y="0"/>
          <wp:positionH relativeFrom="margin">
            <wp:posOffset>1539240</wp:posOffset>
          </wp:positionH>
          <wp:positionV relativeFrom="margin">
            <wp:posOffset>-692150</wp:posOffset>
          </wp:positionV>
          <wp:extent cx="2533650" cy="426395"/>
          <wp:effectExtent l="0" t="0" r="0" b="0"/>
          <wp:wrapSquare wrapText="bothSides"/>
          <wp:docPr id="2137444502" name="Imagem 1" descr="A literacia financeira e o N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iteracia financeira e o Na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4263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8DB"/>
    <w:multiLevelType w:val="hybridMultilevel"/>
    <w:tmpl w:val="791452F6"/>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 w15:restartNumberingAfterBreak="0">
    <w:nsid w:val="2C421273"/>
    <w:multiLevelType w:val="hybridMultilevel"/>
    <w:tmpl w:val="E0BAD354"/>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2" w15:restartNumberingAfterBreak="0">
    <w:nsid w:val="39261C3C"/>
    <w:multiLevelType w:val="hybridMultilevel"/>
    <w:tmpl w:val="A488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E47C7"/>
    <w:multiLevelType w:val="hybridMultilevel"/>
    <w:tmpl w:val="194AA61E"/>
    <w:lvl w:ilvl="0" w:tplc="27DA4E2A">
      <w:start w:val="2"/>
      <w:numFmt w:val="decimal"/>
      <w:lvlText w:val="%1."/>
      <w:lvlJc w:val="left"/>
      <w:pPr>
        <w:ind w:left="717" w:hanging="360"/>
      </w:pPr>
      <w:rPr>
        <w:rFonts w:hint="default"/>
        <w:b/>
        <w:color w:val="0195C7"/>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4" w15:restartNumberingAfterBreak="0">
    <w:nsid w:val="451A2B9F"/>
    <w:multiLevelType w:val="hybridMultilevel"/>
    <w:tmpl w:val="3DF8B9CC"/>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5" w15:restartNumberingAfterBreak="0">
    <w:nsid w:val="638D6583"/>
    <w:multiLevelType w:val="hybridMultilevel"/>
    <w:tmpl w:val="22AEF286"/>
    <w:lvl w:ilvl="0" w:tplc="3B9ACC60">
      <w:start w:val="1"/>
      <w:numFmt w:val="decimal"/>
      <w:lvlText w:val="%1)"/>
      <w:lvlJc w:val="left"/>
      <w:pPr>
        <w:ind w:left="717" w:hanging="360"/>
      </w:pPr>
      <w:rPr>
        <w:rFonts w:hint="default"/>
        <w:b/>
        <w:color w:val="0195C7"/>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6" w15:restartNumberingAfterBreak="0">
    <w:nsid w:val="7A4B5284"/>
    <w:multiLevelType w:val="hybridMultilevel"/>
    <w:tmpl w:val="4DC4E0F6"/>
    <w:lvl w:ilvl="0" w:tplc="DF348CD6">
      <w:start w:val="1"/>
      <w:numFmt w:val="decimal"/>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16cid:durableId="2134403467">
    <w:abstractNumId w:val="2"/>
  </w:num>
  <w:num w:numId="2" w16cid:durableId="749619324">
    <w:abstractNumId w:val="6"/>
  </w:num>
  <w:num w:numId="3" w16cid:durableId="1226793471">
    <w:abstractNumId w:val="4"/>
  </w:num>
  <w:num w:numId="4" w16cid:durableId="554707807">
    <w:abstractNumId w:val="5"/>
  </w:num>
  <w:num w:numId="5" w16cid:durableId="1865438093">
    <w:abstractNumId w:val="3"/>
  </w:num>
  <w:num w:numId="6" w16cid:durableId="2106729745">
    <w:abstractNumId w:val="1"/>
  </w:num>
  <w:num w:numId="7" w16cid:durableId="195181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98"/>
    <w:rsid w:val="00010AFB"/>
    <w:rsid w:val="0002312C"/>
    <w:rsid w:val="00031CB7"/>
    <w:rsid w:val="00043DEE"/>
    <w:rsid w:val="0004437F"/>
    <w:rsid w:val="000531D0"/>
    <w:rsid w:val="00060D9E"/>
    <w:rsid w:val="0006465F"/>
    <w:rsid w:val="00095A6A"/>
    <w:rsid w:val="000A59A6"/>
    <w:rsid w:val="000A5A0C"/>
    <w:rsid w:val="000A7849"/>
    <w:rsid w:val="000C694C"/>
    <w:rsid w:val="000C7ECF"/>
    <w:rsid w:val="000D2987"/>
    <w:rsid w:val="000D4E8F"/>
    <w:rsid w:val="000D742C"/>
    <w:rsid w:val="000E12D5"/>
    <w:rsid w:val="000E20FC"/>
    <w:rsid w:val="000E41C8"/>
    <w:rsid w:val="000E4C70"/>
    <w:rsid w:val="000E624C"/>
    <w:rsid w:val="000E7219"/>
    <w:rsid w:val="000F3ED9"/>
    <w:rsid w:val="001070F5"/>
    <w:rsid w:val="00114644"/>
    <w:rsid w:val="001216BE"/>
    <w:rsid w:val="001357E2"/>
    <w:rsid w:val="00136AD9"/>
    <w:rsid w:val="00142A7E"/>
    <w:rsid w:val="0014328B"/>
    <w:rsid w:val="001453FC"/>
    <w:rsid w:val="001515C0"/>
    <w:rsid w:val="00164EEF"/>
    <w:rsid w:val="00167F99"/>
    <w:rsid w:val="001743CA"/>
    <w:rsid w:val="00181368"/>
    <w:rsid w:val="00191765"/>
    <w:rsid w:val="00197A08"/>
    <w:rsid w:val="001B0608"/>
    <w:rsid w:val="001B1959"/>
    <w:rsid w:val="001D05B2"/>
    <w:rsid w:val="001D4D11"/>
    <w:rsid w:val="001E470F"/>
    <w:rsid w:val="001E5755"/>
    <w:rsid w:val="001F00C3"/>
    <w:rsid w:val="001F4850"/>
    <w:rsid w:val="00204714"/>
    <w:rsid w:val="00204D8A"/>
    <w:rsid w:val="00206819"/>
    <w:rsid w:val="00213F07"/>
    <w:rsid w:val="00223D29"/>
    <w:rsid w:val="002369C9"/>
    <w:rsid w:val="00237917"/>
    <w:rsid w:val="002409D6"/>
    <w:rsid w:val="00242820"/>
    <w:rsid w:val="00252C4C"/>
    <w:rsid w:val="00252EE3"/>
    <w:rsid w:val="00253205"/>
    <w:rsid w:val="00253D78"/>
    <w:rsid w:val="002578B7"/>
    <w:rsid w:val="002604F3"/>
    <w:rsid w:val="002609C8"/>
    <w:rsid w:val="0026433B"/>
    <w:rsid w:val="00265DD5"/>
    <w:rsid w:val="00266EC6"/>
    <w:rsid w:val="00272414"/>
    <w:rsid w:val="0027704B"/>
    <w:rsid w:val="00277140"/>
    <w:rsid w:val="00283D1F"/>
    <w:rsid w:val="002A3868"/>
    <w:rsid w:val="002A7646"/>
    <w:rsid w:val="002B0CFA"/>
    <w:rsid w:val="002B2ADF"/>
    <w:rsid w:val="002B640E"/>
    <w:rsid w:val="002C22E2"/>
    <w:rsid w:val="002D1622"/>
    <w:rsid w:val="002E085F"/>
    <w:rsid w:val="002E25CB"/>
    <w:rsid w:val="002E2AE9"/>
    <w:rsid w:val="002E6F33"/>
    <w:rsid w:val="002F41B9"/>
    <w:rsid w:val="002F5B37"/>
    <w:rsid w:val="00300428"/>
    <w:rsid w:val="00311104"/>
    <w:rsid w:val="003148FB"/>
    <w:rsid w:val="00324ABF"/>
    <w:rsid w:val="00325784"/>
    <w:rsid w:val="00340399"/>
    <w:rsid w:val="0035189D"/>
    <w:rsid w:val="00351B85"/>
    <w:rsid w:val="00372F09"/>
    <w:rsid w:val="003742FB"/>
    <w:rsid w:val="00374AE2"/>
    <w:rsid w:val="00397839"/>
    <w:rsid w:val="003A7090"/>
    <w:rsid w:val="003A7D4E"/>
    <w:rsid w:val="003D660F"/>
    <w:rsid w:val="003D6703"/>
    <w:rsid w:val="00421334"/>
    <w:rsid w:val="004217C1"/>
    <w:rsid w:val="00421C3B"/>
    <w:rsid w:val="0043131C"/>
    <w:rsid w:val="00433EF2"/>
    <w:rsid w:val="00436267"/>
    <w:rsid w:val="004418B8"/>
    <w:rsid w:val="004515EC"/>
    <w:rsid w:val="00460952"/>
    <w:rsid w:val="00462550"/>
    <w:rsid w:val="004653AD"/>
    <w:rsid w:val="00474392"/>
    <w:rsid w:val="00476D5F"/>
    <w:rsid w:val="00482E5B"/>
    <w:rsid w:val="00483228"/>
    <w:rsid w:val="00484D21"/>
    <w:rsid w:val="004874D9"/>
    <w:rsid w:val="00487602"/>
    <w:rsid w:val="00494467"/>
    <w:rsid w:val="004975D5"/>
    <w:rsid w:val="004A5082"/>
    <w:rsid w:val="004A5C04"/>
    <w:rsid w:val="004A6A81"/>
    <w:rsid w:val="004C118C"/>
    <w:rsid w:val="004C1CB3"/>
    <w:rsid w:val="004C7B01"/>
    <w:rsid w:val="004F0D35"/>
    <w:rsid w:val="005005D1"/>
    <w:rsid w:val="0050204C"/>
    <w:rsid w:val="00503193"/>
    <w:rsid w:val="00503860"/>
    <w:rsid w:val="00505031"/>
    <w:rsid w:val="00511B8B"/>
    <w:rsid w:val="00515FFA"/>
    <w:rsid w:val="00516187"/>
    <w:rsid w:val="00522026"/>
    <w:rsid w:val="005340ED"/>
    <w:rsid w:val="005507E2"/>
    <w:rsid w:val="00556762"/>
    <w:rsid w:val="00563C07"/>
    <w:rsid w:val="00565985"/>
    <w:rsid w:val="00571A22"/>
    <w:rsid w:val="005736BC"/>
    <w:rsid w:val="00573C31"/>
    <w:rsid w:val="00582F63"/>
    <w:rsid w:val="00584C33"/>
    <w:rsid w:val="00596DCA"/>
    <w:rsid w:val="005A207A"/>
    <w:rsid w:val="005A23E8"/>
    <w:rsid w:val="005B24CC"/>
    <w:rsid w:val="005B411F"/>
    <w:rsid w:val="005B53FD"/>
    <w:rsid w:val="005C5F97"/>
    <w:rsid w:val="005D3FA2"/>
    <w:rsid w:val="005D6232"/>
    <w:rsid w:val="005E0A39"/>
    <w:rsid w:val="005E1620"/>
    <w:rsid w:val="005E6B84"/>
    <w:rsid w:val="005E7D36"/>
    <w:rsid w:val="005F1969"/>
    <w:rsid w:val="005F3CAC"/>
    <w:rsid w:val="0060008D"/>
    <w:rsid w:val="006027A6"/>
    <w:rsid w:val="00604CC5"/>
    <w:rsid w:val="00604FBF"/>
    <w:rsid w:val="006205D4"/>
    <w:rsid w:val="0062151B"/>
    <w:rsid w:val="0062417D"/>
    <w:rsid w:val="00624D4D"/>
    <w:rsid w:val="00644589"/>
    <w:rsid w:val="0065504C"/>
    <w:rsid w:val="00661D04"/>
    <w:rsid w:val="0066446E"/>
    <w:rsid w:val="0066510D"/>
    <w:rsid w:val="006652DD"/>
    <w:rsid w:val="00665317"/>
    <w:rsid w:val="00680CF3"/>
    <w:rsid w:val="00693D51"/>
    <w:rsid w:val="006B4A56"/>
    <w:rsid w:val="006C15EC"/>
    <w:rsid w:val="006C7917"/>
    <w:rsid w:val="006D1CDF"/>
    <w:rsid w:val="006D3423"/>
    <w:rsid w:val="006D36DF"/>
    <w:rsid w:val="006D7A94"/>
    <w:rsid w:val="006E3977"/>
    <w:rsid w:val="006F1E1D"/>
    <w:rsid w:val="006F3F49"/>
    <w:rsid w:val="006F545E"/>
    <w:rsid w:val="006F5B52"/>
    <w:rsid w:val="007027E3"/>
    <w:rsid w:val="00703B14"/>
    <w:rsid w:val="007048C4"/>
    <w:rsid w:val="007074D5"/>
    <w:rsid w:val="00707512"/>
    <w:rsid w:val="007128BD"/>
    <w:rsid w:val="007212C0"/>
    <w:rsid w:val="0072186A"/>
    <w:rsid w:val="0072476B"/>
    <w:rsid w:val="0074277E"/>
    <w:rsid w:val="0074517C"/>
    <w:rsid w:val="007468C5"/>
    <w:rsid w:val="00747EB8"/>
    <w:rsid w:val="00753465"/>
    <w:rsid w:val="00753D12"/>
    <w:rsid w:val="0075670E"/>
    <w:rsid w:val="00762E3B"/>
    <w:rsid w:val="00767FB4"/>
    <w:rsid w:val="007702BB"/>
    <w:rsid w:val="007736FB"/>
    <w:rsid w:val="00773731"/>
    <w:rsid w:val="00774029"/>
    <w:rsid w:val="0077699C"/>
    <w:rsid w:val="00783EEA"/>
    <w:rsid w:val="00784980"/>
    <w:rsid w:val="0078765F"/>
    <w:rsid w:val="0079107E"/>
    <w:rsid w:val="00794452"/>
    <w:rsid w:val="007A34B5"/>
    <w:rsid w:val="007A5B95"/>
    <w:rsid w:val="007B0B06"/>
    <w:rsid w:val="007B5DF7"/>
    <w:rsid w:val="007B6FE5"/>
    <w:rsid w:val="007C4886"/>
    <w:rsid w:val="007C51E8"/>
    <w:rsid w:val="007C6948"/>
    <w:rsid w:val="007D210D"/>
    <w:rsid w:val="007D4EB0"/>
    <w:rsid w:val="007D657F"/>
    <w:rsid w:val="007E020A"/>
    <w:rsid w:val="00800B99"/>
    <w:rsid w:val="00806829"/>
    <w:rsid w:val="00812124"/>
    <w:rsid w:val="008177CC"/>
    <w:rsid w:val="0082358B"/>
    <w:rsid w:val="00823DAD"/>
    <w:rsid w:val="00833259"/>
    <w:rsid w:val="00835AA5"/>
    <w:rsid w:val="008457AB"/>
    <w:rsid w:val="00852DED"/>
    <w:rsid w:val="0087011D"/>
    <w:rsid w:val="00891B4F"/>
    <w:rsid w:val="00895134"/>
    <w:rsid w:val="00895CCE"/>
    <w:rsid w:val="00897252"/>
    <w:rsid w:val="008A0E85"/>
    <w:rsid w:val="008A33CC"/>
    <w:rsid w:val="008B2AB4"/>
    <w:rsid w:val="008C133C"/>
    <w:rsid w:val="008C3082"/>
    <w:rsid w:val="008C5DA5"/>
    <w:rsid w:val="008C7A1E"/>
    <w:rsid w:val="008D4276"/>
    <w:rsid w:val="008E14B9"/>
    <w:rsid w:val="008E4696"/>
    <w:rsid w:val="008E5192"/>
    <w:rsid w:val="008F09DF"/>
    <w:rsid w:val="00924320"/>
    <w:rsid w:val="00932E02"/>
    <w:rsid w:val="00937B11"/>
    <w:rsid w:val="00947EB9"/>
    <w:rsid w:val="00952F8A"/>
    <w:rsid w:val="0095622C"/>
    <w:rsid w:val="00963E08"/>
    <w:rsid w:val="00964065"/>
    <w:rsid w:val="00966435"/>
    <w:rsid w:val="00972F86"/>
    <w:rsid w:val="00973023"/>
    <w:rsid w:val="00974F8E"/>
    <w:rsid w:val="00981783"/>
    <w:rsid w:val="00993C32"/>
    <w:rsid w:val="009966A6"/>
    <w:rsid w:val="009A3FA1"/>
    <w:rsid w:val="009A47DF"/>
    <w:rsid w:val="009A7149"/>
    <w:rsid w:val="009A72AC"/>
    <w:rsid w:val="009B4C7A"/>
    <w:rsid w:val="009C3717"/>
    <w:rsid w:val="009D6183"/>
    <w:rsid w:val="009D72BC"/>
    <w:rsid w:val="009E22F4"/>
    <w:rsid w:val="009E3AED"/>
    <w:rsid w:val="009E5BCE"/>
    <w:rsid w:val="009F32D0"/>
    <w:rsid w:val="00A20171"/>
    <w:rsid w:val="00A22268"/>
    <w:rsid w:val="00A23A23"/>
    <w:rsid w:val="00A3583E"/>
    <w:rsid w:val="00A40B49"/>
    <w:rsid w:val="00A531A2"/>
    <w:rsid w:val="00A6044A"/>
    <w:rsid w:val="00A63696"/>
    <w:rsid w:val="00A64476"/>
    <w:rsid w:val="00A652AC"/>
    <w:rsid w:val="00A70B90"/>
    <w:rsid w:val="00A77994"/>
    <w:rsid w:val="00AA39A8"/>
    <w:rsid w:val="00AA5E8F"/>
    <w:rsid w:val="00AA6DF7"/>
    <w:rsid w:val="00AB0A58"/>
    <w:rsid w:val="00AB1C1C"/>
    <w:rsid w:val="00AB1FD5"/>
    <w:rsid w:val="00AC5251"/>
    <w:rsid w:val="00AC77C3"/>
    <w:rsid w:val="00AD257E"/>
    <w:rsid w:val="00AE1927"/>
    <w:rsid w:val="00AE28CB"/>
    <w:rsid w:val="00AE59B2"/>
    <w:rsid w:val="00AE6017"/>
    <w:rsid w:val="00AF4896"/>
    <w:rsid w:val="00AF514D"/>
    <w:rsid w:val="00B03A99"/>
    <w:rsid w:val="00B12158"/>
    <w:rsid w:val="00B24746"/>
    <w:rsid w:val="00B41256"/>
    <w:rsid w:val="00B44458"/>
    <w:rsid w:val="00B478C7"/>
    <w:rsid w:val="00B47F37"/>
    <w:rsid w:val="00B50013"/>
    <w:rsid w:val="00B5170A"/>
    <w:rsid w:val="00B529AF"/>
    <w:rsid w:val="00B5527D"/>
    <w:rsid w:val="00B5611B"/>
    <w:rsid w:val="00B609C8"/>
    <w:rsid w:val="00B61588"/>
    <w:rsid w:val="00B63732"/>
    <w:rsid w:val="00B72A12"/>
    <w:rsid w:val="00B85983"/>
    <w:rsid w:val="00B92F0E"/>
    <w:rsid w:val="00BA2A9F"/>
    <w:rsid w:val="00BA2C48"/>
    <w:rsid w:val="00BA5E61"/>
    <w:rsid w:val="00BB108B"/>
    <w:rsid w:val="00BB1E26"/>
    <w:rsid w:val="00BB37D9"/>
    <w:rsid w:val="00BB5B91"/>
    <w:rsid w:val="00BB66CA"/>
    <w:rsid w:val="00BB7D1E"/>
    <w:rsid w:val="00BC2E0E"/>
    <w:rsid w:val="00BC5E92"/>
    <w:rsid w:val="00BD2929"/>
    <w:rsid w:val="00BD64F2"/>
    <w:rsid w:val="00BF077A"/>
    <w:rsid w:val="00BF3B1E"/>
    <w:rsid w:val="00BF3D92"/>
    <w:rsid w:val="00C06CF8"/>
    <w:rsid w:val="00C07C7E"/>
    <w:rsid w:val="00C12E03"/>
    <w:rsid w:val="00C132D1"/>
    <w:rsid w:val="00C17F35"/>
    <w:rsid w:val="00C318DD"/>
    <w:rsid w:val="00C40B4B"/>
    <w:rsid w:val="00C4528E"/>
    <w:rsid w:val="00C4738F"/>
    <w:rsid w:val="00C518B1"/>
    <w:rsid w:val="00C6442A"/>
    <w:rsid w:val="00C66D98"/>
    <w:rsid w:val="00C7045D"/>
    <w:rsid w:val="00C75C27"/>
    <w:rsid w:val="00C765AA"/>
    <w:rsid w:val="00C77C9A"/>
    <w:rsid w:val="00C81D47"/>
    <w:rsid w:val="00C856C4"/>
    <w:rsid w:val="00CA33BA"/>
    <w:rsid w:val="00CA720B"/>
    <w:rsid w:val="00CB0C8E"/>
    <w:rsid w:val="00CB2701"/>
    <w:rsid w:val="00CB7000"/>
    <w:rsid w:val="00CB74E6"/>
    <w:rsid w:val="00CC01DA"/>
    <w:rsid w:val="00CC2489"/>
    <w:rsid w:val="00CC736E"/>
    <w:rsid w:val="00CD28A0"/>
    <w:rsid w:val="00CE1AE6"/>
    <w:rsid w:val="00CE4C43"/>
    <w:rsid w:val="00CE7139"/>
    <w:rsid w:val="00CF2273"/>
    <w:rsid w:val="00CF2F47"/>
    <w:rsid w:val="00CF3071"/>
    <w:rsid w:val="00D04723"/>
    <w:rsid w:val="00D05085"/>
    <w:rsid w:val="00D119E9"/>
    <w:rsid w:val="00D11EAC"/>
    <w:rsid w:val="00D249E0"/>
    <w:rsid w:val="00D24B71"/>
    <w:rsid w:val="00D31C30"/>
    <w:rsid w:val="00D32456"/>
    <w:rsid w:val="00D4022A"/>
    <w:rsid w:val="00D44DA5"/>
    <w:rsid w:val="00D528BB"/>
    <w:rsid w:val="00D5397C"/>
    <w:rsid w:val="00D53B5F"/>
    <w:rsid w:val="00D57F7F"/>
    <w:rsid w:val="00D62DC2"/>
    <w:rsid w:val="00D62F19"/>
    <w:rsid w:val="00D637E4"/>
    <w:rsid w:val="00D672A9"/>
    <w:rsid w:val="00D763C9"/>
    <w:rsid w:val="00D829D2"/>
    <w:rsid w:val="00D830A8"/>
    <w:rsid w:val="00D83DE4"/>
    <w:rsid w:val="00D8477D"/>
    <w:rsid w:val="00D90F62"/>
    <w:rsid w:val="00D925D4"/>
    <w:rsid w:val="00D93163"/>
    <w:rsid w:val="00D96512"/>
    <w:rsid w:val="00DA2817"/>
    <w:rsid w:val="00DB4B88"/>
    <w:rsid w:val="00DC1E25"/>
    <w:rsid w:val="00DC411D"/>
    <w:rsid w:val="00DC6F58"/>
    <w:rsid w:val="00DE5311"/>
    <w:rsid w:val="00DF2C62"/>
    <w:rsid w:val="00DF2F77"/>
    <w:rsid w:val="00DF4C6D"/>
    <w:rsid w:val="00DF7F0D"/>
    <w:rsid w:val="00E04C41"/>
    <w:rsid w:val="00E1007D"/>
    <w:rsid w:val="00E113D1"/>
    <w:rsid w:val="00E128FE"/>
    <w:rsid w:val="00E22859"/>
    <w:rsid w:val="00E342E8"/>
    <w:rsid w:val="00E529AF"/>
    <w:rsid w:val="00E54077"/>
    <w:rsid w:val="00E607C2"/>
    <w:rsid w:val="00E64287"/>
    <w:rsid w:val="00E64BA5"/>
    <w:rsid w:val="00E7785C"/>
    <w:rsid w:val="00E80988"/>
    <w:rsid w:val="00E838A8"/>
    <w:rsid w:val="00E8477D"/>
    <w:rsid w:val="00E87234"/>
    <w:rsid w:val="00E92401"/>
    <w:rsid w:val="00E96D9F"/>
    <w:rsid w:val="00EA004A"/>
    <w:rsid w:val="00EB3FC1"/>
    <w:rsid w:val="00EB49A5"/>
    <w:rsid w:val="00EC4B86"/>
    <w:rsid w:val="00ED71B8"/>
    <w:rsid w:val="00ED7689"/>
    <w:rsid w:val="00EE40E1"/>
    <w:rsid w:val="00EF0BD2"/>
    <w:rsid w:val="00EF6B41"/>
    <w:rsid w:val="00EF6B86"/>
    <w:rsid w:val="00EF7010"/>
    <w:rsid w:val="00F0724A"/>
    <w:rsid w:val="00F12584"/>
    <w:rsid w:val="00F17236"/>
    <w:rsid w:val="00F20DF1"/>
    <w:rsid w:val="00F25DA8"/>
    <w:rsid w:val="00F30379"/>
    <w:rsid w:val="00F30A35"/>
    <w:rsid w:val="00F31184"/>
    <w:rsid w:val="00F42CBD"/>
    <w:rsid w:val="00F56605"/>
    <w:rsid w:val="00F70505"/>
    <w:rsid w:val="00F753E7"/>
    <w:rsid w:val="00F756DD"/>
    <w:rsid w:val="00F761EC"/>
    <w:rsid w:val="00F85956"/>
    <w:rsid w:val="00F90F80"/>
    <w:rsid w:val="00F91C66"/>
    <w:rsid w:val="00FA09B6"/>
    <w:rsid w:val="00FB1F8A"/>
    <w:rsid w:val="00FB483D"/>
    <w:rsid w:val="00FB7EF0"/>
    <w:rsid w:val="00FC2EE8"/>
    <w:rsid w:val="00FC5F7E"/>
    <w:rsid w:val="00FD1DC4"/>
    <w:rsid w:val="00FE3DBB"/>
    <w:rsid w:val="00FF6A59"/>
    <w:rsid w:val="13FF7A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A7616"/>
  <w15:chartTrackingRefBased/>
  <w15:docId w15:val="{F3450B14-9107-4B05-8580-F3FB7101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C6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C6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C66D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C66D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C66D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C66D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66D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66D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66D9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66D98"/>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C66D98"/>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C66D98"/>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C66D98"/>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C66D98"/>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C66D9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66D9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66D9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66D98"/>
    <w:rPr>
      <w:rFonts w:eastAsiaTheme="majorEastAsia" w:cstheme="majorBidi"/>
      <w:color w:val="272727" w:themeColor="text1" w:themeTint="D8"/>
    </w:rPr>
  </w:style>
  <w:style w:type="paragraph" w:styleId="Ttulo">
    <w:name w:val="Title"/>
    <w:basedOn w:val="Normal"/>
    <w:next w:val="Normal"/>
    <w:link w:val="TtuloCarter"/>
    <w:uiPriority w:val="10"/>
    <w:qFormat/>
    <w:rsid w:val="00C6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66D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66D9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66D9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66D9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C66D98"/>
    <w:rPr>
      <w:i/>
      <w:iCs/>
      <w:color w:val="404040" w:themeColor="text1" w:themeTint="BF"/>
    </w:rPr>
  </w:style>
  <w:style w:type="paragraph" w:styleId="PargrafodaLista">
    <w:name w:val="List Paragraph"/>
    <w:basedOn w:val="Normal"/>
    <w:uiPriority w:val="34"/>
    <w:qFormat/>
    <w:rsid w:val="00C66D98"/>
    <w:pPr>
      <w:ind w:left="720"/>
      <w:contextualSpacing/>
    </w:pPr>
  </w:style>
  <w:style w:type="character" w:styleId="nfaseIntensa">
    <w:name w:val="Intense Emphasis"/>
    <w:basedOn w:val="Tipodeletrapredefinidodopargrafo"/>
    <w:uiPriority w:val="21"/>
    <w:qFormat/>
    <w:rsid w:val="00C66D98"/>
    <w:rPr>
      <w:i/>
      <w:iCs/>
      <w:color w:val="0F4761" w:themeColor="accent1" w:themeShade="BF"/>
    </w:rPr>
  </w:style>
  <w:style w:type="paragraph" w:styleId="CitaoIntensa">
    <w:name w:val="Intense Quote"/>
    <w:basedOn w:val="Normal"/>
    <w:next w:val="Normal"/>
    <w:link w:val="CitaoIntensaCarter"/>
    <w:uiPriority w:val="30"/>
    <w:qFormat/>
    <w:rsid w:val="00C6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C66D98"/>
    <w:rPr>
      <w:i/>
      <w:iCs/>
      <w:color w:val="0F4761" w:themeColor="accent1" w:themeShade="BF"/>
    </w:rPr>
  </w:style>
  <w:style w:type="character" w:styleId="RefernciaIntensa">
    <w:name w:val="Intense Reference"/>
    <w:basedOn w:val="Tipodeletrapredefinidodopargrafo"/>
    <w:uiPriority w:val="32"/>
    <w:qFormat/>
    <w:rsid w:val="00C66D98"/>
    <w:rPr>
      <w:b/>
      <w:bCs/>
      <w:smallCaps/>
      <w:color w:val="0F4761" w:themeColor="accent1" w:themeShade="BF"/>
      <w:spacing w:val="5"/>
    </w:rPr>
  </w:style>
  <w:style w:type="paragraph" w:styleId="Cabealho">
    <w:name w:val="header"/>
    <w:basedOn w:val="Normal"/>
    <w:link w:val="CabealhoCarter"/>
    <w:uiPriority w:val="99"/>
    <w:unhideWhenUsed/>
    <w:rsid w:val="00C66D98"/>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C66D98"/>
  </w:style>
  <w:style w:type="paragraph" w:styleId="Rodap">
    <w:name w:val="footer"/>
    <w:basedOn w:val="Normal"/>
    <w:link w:val="RodapCarter"/>
    <w:uiPriority w:val="99"/>
    <w:unhideWhenUsed/>
    <w:rsid w:val="00C66D98"/>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C66D98"/>
  </w:style>
  <w:style w:type="character" w:styleId="Hiperligao">
    <w:name w:val="Hyperlink"/>
    <w:basedOn w:val="Tipodeletrapredefinidodopargrafo"/>
    <w:uiPriority w:val="99"/>
    <w:unhideWhenUsed/>
    <w:rsid w:val="002E2AE9"/>
    <w:rPr>
      <w:color w:val="467886" w:themeColor="hyperlink"/>
      <w:u w:val="single"/>
    </w:rPr>
  </w:style>
  <w:style w:type="character" w:styleId="MenoNoResolvida">
    <w:name w:val="Unresolved Mention"/>
    <w:basedOn w:val="Tipodeletrapredefinidodopargrafo"/>
    <w:uiPriority w:val="99"/>
    <w:semiHidden/>
    <w:unhideWhenUsed/>
    <w:rsid w:val="002E2AE9"/>
    <w:rPr>
      <w:color w:val="605E5C"/>
      <w:shd w:val="clear" w:color="auto" w:fill="E1DFDD"/>
    </w:rPr>
  </w:style>
  <w:style w:type="character" w:styleId="Refdecomentrio">
    <w:name w:val="annotation reference"/>
    <w:basedOn w:val="Tipodeletrapredefinidodopargrafo"/>
    <w:uiPriority w:val="99"/>
    <w:semiHidden/>
    <w:unhideWhenUsed/>
    <w:rsid w:val="002E2AE9"/>
    <w:rPr>
      <w:sz w:val="16"/>
      <w:szCs w:val="16"/>
    </w:rPr>
  </w:style>
  <w:style w:type="paragraph" w:styleId="Textodecomentrio">
    <w:name w:val="annotation text"/>
    <w:basedOn w:val="Normal"/>
    <w:link w:val="TextodecomentrioCarter"/>
    <w:uiPriority w:val="99"/>
    <w:unhideWhenUsed/>
    <w:rsid w:val="002E2AE9"/>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2E2AE9"/>
    <w:rPr>
      <w:sz w:val="20"/>
      <w:szCs w:val="20"/>
    </w:rPr>
  </w:style>
  <w:style w:type="paragraph" w:styleId="Assuntodecomentrio">
    <w:name w:val="annotation subject"/>
    <w:basedOn w:val="Textodecomentrio"/>
    <w:next w:val="Textodecomentrio"/>
    <w:link w:val="AssuntodecomentrioCarter"/>
    <w:uiPriority w:val="99"/>
    <w:semiHidden/>
    <w:unhideWhenUsed/>
    <w:rsid w:val="002E2AE9"/>
    <w:rPr>
      <w:b/>
      <w:bCs/>
    </w:rPr>
  </w:style>
  <w:style w:type="character" w:customStyle="1" w:styleId="AssuntodecomentrioCarter">
    <w:name w:val="Assunto de comentário Caráter"/>
    <w:basedOn w:val="TextodecomentrioCarter"/>
    <w:link w:val="Assuntodecomentrio"/>
    <w:uiPriority w:val="99"/>
    <w:semiHidden/>
    <w:rsid w:val="002E2AE9"/>
    <w:rPr>
      <w:b/>
      <w:bCs/>
      <w:sz w:val="20"/>
      <w:szCs w:val="20"/>
    </w:rPr>
  </w:style>
  <w:style w:type="paragraph" w:styleId="Reviso">
    <w:name w:val="Revision"/>
    <w:hidden/>
    <w:uiPriority w:val="99"/>
    <w:semiHidden/>
    <w:rsid w:val="00167F99"/>
    <w:pPr>
      <w:spacing w:after="0" w:line="240" w:lineRule="auto"/>
    </w:pPr>
  </w:style>
  <w:style w:type="character" w:styleId="Hiperligaovisitada">
    <w:name w:val="FollowedHyperlink"/>
    <w:basedOn w:val="Tipodeletrapredefinidodopargrafo"/>
    <w:uiPriority w:val="99"/>
    <w:semiHidden/>
    <w:unhideWhenUsed/>
    <w:rsid w:val="006445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62038">
      <w:bodyDiv w:val="1"/>
      <w:marLeft w:val="0"/>
      <w:marRight w:val="0"/>
      <w:marTop w:val="0"/>
      <w:marBottom w:val="0"/>
      <w:divBdr>
        <w:top w:val="none" w:sz="0" w:space="0" w:color="auto"/>
        <w:left w:val="none" w:sz="0" w:space="0" w:color="auto"/>
        <w:bottom w:val="none" w:sz="0" w:space="0" w:color="auto"/>
        <w:right w:val="none" w:sz="0" w:space="0" w:color="auto"/>
      </w:divBdr>
    </w:div>
    <w:div w:id="89917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quel.rogeiro@lift.com.p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utorfinancas.pt/sobre-doutor-financ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utorfinancas.pt/financas-pessoais/orcamento-familiar/checklist-financeira-antes-das-feria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outorfinancas.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guel.carrilho@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E2CC265F5C2334985E4B3FC6F05D8EC" ma:contentTypeVersion="11" ma:contentTypeDescription="Criar um novo documento." ma:contentTypeScope="" ma:versionID="3e0c0f55a9c5d0c1b4c732b1ee1ee6dc">
  <xsd:schema xmlns:xsd="http://www.w3.org/2001/XMLSchema" xmlns:xs="http://www.w3.org/2001/XMLSchema" xmlns:p="http://schemas.microsoft.com/office/2006/metadata/properties" xmlns:ns2="5b430281-fad7-436a-b902-e011d6f73fb0" xmlns:ns3="758c6338-9cc2-440b-9e2c-ab0d12a0ff25" targetNamespace="http://schemas.microsoft.com/office/2006/metadata/properties" ma:root="true" ma:fieldsID="266be52e6d20fefa9b2cb8ff3e2c2dc4" ns2:_="" ns3:_="">
    <xsd:import namespace="5b430281-fad7-436a-b902-e011d6f73fb0"/>
    <xsd:import namespace="758c6338-9cc2-440b-9e2c-ab0d12a0f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30281-fad7-436a-b902-e011d6f73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8c6338-9cc2-440b-9e2c-ab0d12a0ff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e6d457-6d3e-4a1d-bab7-9564f40c69ee}" ma:internalName="TaxCatchAll" ma:showField="CatchAllData" ma:web="758c6338-9cc2-440b-9e2c-ab0d12a0f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430281-fad7-436a-b902-e011d6f73fb0">
      <Terms xmlns="http://schemas.microsoft.com/office/infopath/2007/PartnerControls"/>
    </lcf76f155ced4ddcb4097134ff3c332f>
    <TaxCatchAll xmlns="758c6338-9cc2-440b-9e2c-ab0d12a0ff25" xsi:nil="true"/>
  </documentManagement>
</p:properties>
</file>

<file path=customXml/itemProps1.xml><?xml version="1.0" encoding="utf-8"?>
<ds:datastoreItem xmlns:ds="http://schemas.openxmlformats.org/officeDocument/2006/customXml" ds:itemID="{2CAE7453-388D-4124-A3CD-9E70FB915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30281-fad7-436a-b902-e011d6f73fb0"/>
    <ds:schemaRef ds:uri="758c6338-9cc2-440b-9e2c-ab0d12a0f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B4A6B-0C42-4D8E-97A6-8E18AB38C41A}">
  <ds:schemaRefs>
    <ds:schemaRef ds:uri="http://schemas.microsoft.com/sharepoint/v3/contenttype/forms"/>
  </ds:schemaRefs>
</ds:datastoreItem>
</file>

<file path=customXml/itemProps3.xml><?xml version="1.0" encoding="utf-8"?>
<ds:datastoreItem xmlns:ds="http://schemas.openxmlformats.org/officeDocument/2006/customXml" ds:itemID="{F57C5965-E003-404F-A887-C3ED02F3D5D5}">
  <ds:schemaRefs>
    <ds:schemaRef ds:uri="http://schemas.microsoft.com/office/2006/metadata/properties"/>
    <ds:schemaRef ds:uri="http://schemas.microsoft.com/office/infopath/2007/PartnerControls"/>
    <ds:schemaRef ds:uri="5b430281-fad7-436a-b902-e011d6f73fb0"/>
    <ds:schemaRef ds:uri="758c6338-9cc2-440b-9e2c-ab0d12a0ff25"/>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Pages>
  <Words>1086</Words>
  <Characters>5866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Duarte</dc:creator>
  <cp:keywords/>
  <dc:description/>
  <cp:lastModifiedBy>Rita Faria</cp:lastModifiedBy>
  <cp:revision>118</cp:revision>
  <cp:lastPrinted>2025-11-12T10:24:00Z</cp:lastPrinted>
  <dcterms:created xsi:type="dcterms:W3CDTF">2026-02-24T16:32:00Z</dcterms:created>
  <dcterms:modified xsi:type="dcterms:W3CDTF">2026-06-24T10:09:00Z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0x010100CE2CC265F5C2334985E4B3FC6F05D8EC</vt:lpwstr>
  </property>
  <property fmtid="{D5CDD505-2E9C-101B-9397-08002B2CF9AE}" pid="3" name="MediaServiceImageTags">
    <vt:lpwstr/>
  </property>
</Properties>
</file>