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60BC63" w14:textId="77777777" w:rsidR="00FE3EE4" w:rsidRDefault="00FE3EE4" w:rsidP="00FE3EE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KOMENTARZ RYNKOWY</w:t>
      </w:r>
    </w:p>
    <w:p w14:paraId="46528FBB" w14:textId="05D5825D" w:rsidR="00FE3EE4" w:rsidRPr="00FE3EE4" w:rsidRDefault="00FE3EE4" w:rsidP="00FE3EE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Chiński e-commerce szuka magazynów w CEE</w:t>
      </w:r>
    </w:p>
    <w:p w14:paraId="6860CE46" w14:textId="77777777" w:rsidR="00FE3EE4" w:rsidRPr="001D32DD" w:rsidRDefault="00FE3EE4" w:rsidP="00FE3EE4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lang w:val="en-US"/>
        </w:rPr>
      </w:pPr>
      <w:r w:rsidRPr="001D32DD">
        <w:rPr>
          <w:b/>
          <w:bCs/>
          <w:color w:val="000000"/>
          <w:lang w:val="en-US"/>
        </w:rPr>
        <w:t xml:space="preserve">Autor: </w:t>
      </w:r>
      <w:proofErr w:type="spellStart"/>
      <w:r w:rsidRPr="001D32DD">
        <w:rPr>
          <w:b/>
          <w:bCs/>
          <w:color w:val="000000"/>
          <w:lang w:val="en-US"/>
        </w:rPr>
        <w:t>Szczepan</w:t>
      </w:r>
      <w:proofErr w:type="spellEnd"/>
      <w:r w:rsidRPr="001D32DD">
        <w:rPr>
          <w:b/>
          <w:bCs/>
          <w:color w:val="000000"/>
          <w:lang w:val="en-US"/>
        </w:rPr>
        <w:t xml:space="preserve"> </w:t>
      </w:r>
      <w:proofErr w:type="spellStart"/>
      <w:r w:rsidRPr="001D32DD">
        <w:rPr>
          <w:b/>
          <w:bCs/>
          <w:color w:val="000000"/>
          <w:lang w:val="en-US"/>
        </w:rPr>
        <w:t>Gowin</w:t>
      </w:r>
      <w:proofErr w:type="spellEnd"/>
      <w:r w:rsidRPr="001D32DD">
        <w:rPr>
          <w:b/>
          <w:bCs/>
          <w:color w:val="000000"/>
          <w:lang w:val="en-US"/>
        </w:rPr>
        <w:t>, Partner, Head of Industrial &amp; Logistics Agency | Poland</w:t>
      </w:r>
      <w:r w:rsidRPr="001D32DD">
        <w:rPr>
          <w:color w:val="000000"/>
          <w:lang w:val="en-US"/>
        </w:rPr>
        <w:br/>
      </w:r>
      <w:r w:rsidRPr="001D32DD">
        <w:rPr>
          <w:b/>
          <w:bCs/>
          <w:color w:val="000000"/>
          <w:lang w:val="en-US"/>
        </w:rPr>
        <w:t>Cushman &amp; Wakefield</w:t>
      </w:r>
    </w:p>
    <w:p w14:paraId="19AF44E0" w14:textId="52674051" w:rsidR="00FE3EE4" w:rsidRPr="00FE3EE4" w:rsidRDefault="00FE3EE4" w:rsidP="00FE3EE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Od 1 lipca 2026 roku przesyłki e-commerce o wartości do 150 euro importowane spoza Unii Europejskiej przestaną korzystać ze zwolnienia z cła, a w okresie przejściowym – wstępnie do 1 lipca 2028 roku – mają zostać objęte opłatą w wysokości 3 euro za każdą pozycję taryfową w przesyłce, a nie za pojedynczą sztukę. Pięć identycznych koszulek oznacza więc jedną stawkę, ale koszulka i buty – już dwie. To pozornie techniczna zmiana, która może istotnie wpłynąć na model działania platform spoza UE, szczególnie azjatyckich graczy e-commerce, opierających dotąd dużą część sprzedaży na bezpośrednich przesyłkach do europejskich konsumentów.</w:t>
      </w:r>
    </w:p>
    <w:p w14:paraId="73F1F8C6" w14:textId="77777777" w:rsidR="00FE3EE4" w:rsidRDefault="00FE3EE4" w:rsidP="00FE3EE4">
      <w:pPr>
        <w:spacing w:after="140" w:line="246" w:lineRule="auto"/>
        <w:jc w:val="both"/>
        <w:rPr>
          <w:color w:val="000000"/>
        </w:rPr>
      </w:pPr>
      <w:r>
        <w:rPr>
          <w:color w:val="000000"/>
        </w:rPr>
        <w:t xml:space="preserve">W 2025 roku import z Chin do Polski wyniósł 57,9 mld euro, podczas gdy polski eksport do Chin osiągnął 3,1 mld euro. Warto dodać, że import z Chin stanowi już 15,5% całkowitego importu do Polski, który urósł w tempie 13% rocznie przy ok. 6-proc. wzroście całego importu. W e-commerce ten trend jest równie widoczny: Temu, </w:t>
      </w:r>
      <w:proofErr w:type="spellStart"/>
      <w:r>
        <w:rPr>
          <w:color w:val="000000"/>
        </w:rPr>
        <w:t>Shein</w:t>
      </w:r>
      <w:proofErr w:type="spellEnd"/>
      <w:r>
        <w:rPr>
          <w:color w:val="000000"/>
        </w:rPr>
        <w:t xml:space="preserve"> i </w:t>
      </w:r>
      <w:proofErr w:type="spellStart"/>
      <w:r>
        <w:rPr>
          <w:color w:val="000000"/>
        </w:rPr>
        <w:t>AliExpress</w:t>
      </w:r>
      <w:proofErr w:type="spellEnd"/>
      <w:r>
        <w:rPr>
          <w:color w:val="000000"/>
        </w:rPr>
        <w:t xml:space="preserve"> wygenerowały w Polsce między jesienią 2024 roku a jesienią 2025 roku obroty rzędu 11,6 mld zł, co przełożyło się na ok. 100 mln przesyłek rocznie. To pokazuje, że relacje handlowe są dziś znacznie silniejsze niż inwestycyjne, a Polska pełni dla chińskich firm przede wszystkim funkcję rynku konsumpcyjnego i dystrybucyjnego. </w:t>
      </w:r>
    </w:p>
    <w:p w14:paraId="01E9783A" w14:textId="5E1B4535" w:rsidR="00FE3EE4" w:rsidRPr="00FE3EE4" w:rsidRDefault="00FE3EE4" w:rsidP="00FE3EE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Dla rynku nieruchomości magazynowych oznacza to bardzo konkretny impuls popytowy – naturalną odpowiedzią chińskich gigantów może być lokowanie większej części zapasów już na terenie Unii Europejskiej. W praktyce oznacza to dodatkowe zapotrzebowanie na centra </w:t>
      </w:r>
      <w:proofErr w:type="spellStart"/>
      <w:r>
        <w:rPr>
          <w:color w:val="000000"/>
        </w:rPr>
        <w:t>fulfilmentowe</w:t>
      </w:r>
      <w:proofErr w:type="spellEnd"/>
      <w:r>
        <w:rPr>
          <w:color w:val="000000"/>
        </w:rPr>
        <w:t>, magazyny buforowe, huby przeładunkowe oraz powierzchnie wspierające obsługę zwrotów i szybką dystrybucję na kilka rynków jednocześnie.</w:t>
      </w:r>
    </w:p>
    <w:p w14:paraId="74B5F786" w14:textId="5F2B86AA" w:rsidR="00FE3EE4" w:rsidRDefault="00FE3EE4" w:rsidP="00FE3EE4">
      <w:pPr>
        <w:spacing w:after="140" w:line="246" w:lineRule="auto"/>
        <w:jc w:val="both"/>
        <w:rPr>
          <w:color w:val="000000"/>
        </w:rPr>
      </w:pPr>
      <w:r>
        <w:rPr>
          <w:color w:val="000000"/>
        </w:rPr>
        <w:t xml:space="preserve">Widzimy to również w rozmowach prowadzonych z potencjalnymi najemcami z Chin. W ramach </w:t>
      </w:r>
      <w:r w:rsidR="00B7353F">
        <w:rPr>
          <w:color w:val="000000"/>
        </w:rPr>
        <w:t xml:space="preserve">Europe </w:t>
      </w:r>
      <w:proofErr w:type="spellStart"/>
      <w:r>
        <w:rPr>
          <w:color w:val="000000"/>
        </w:rPr>
        <w:t>Unlock</w:t>
      </w:r>
      <w:r w:rsidR="00B7353F">
        <w:rPr>
          <w:color w:val="000000"/>
        </w:rPr>
        <w:t>ed</w:t>
      </w:r>
      <w:proofErr w:type="spellEnd"/>
      <w:r>
        <w:rPr>
          <w:color w:val="000000"/>
        </w:rPr>
        <w:t xml:space="preserve">, inicjatywy </w:t>
      </w:r>
      <w:proofErr w:type="spellStart"/>
      <w:r>
        <w:rPr>
          <w:color w:val="000000"/>
        </w:rPr>
        <w:t>Cushman</w:t>
      </w:r>
      <w:proofErr w:type="spellEnd"/>
      <w:r>
        <w:rPr>
          <w:color w:val="000000"/>
        </w:rPr>
        <w:t xml:space="preserve"> &amp; Wakefield realizowanej przy wsparciu zespołu APAC, spotkaliśmy się w Szanghaju i Guangzhou z przedstawicielami firm planujących wejście lub rozwój działalności na rynku Unii Europejskiej. </w:t>
      </w:r>
      <w:r w:rsidRPr="00C63D81">
        <w:rPr>
          <w:color w:val="000000"/>
        </w:rPr>
        <w:t>Zainteresowanie powierzchnią logistyczną w Polsce i regionie CEE jest realne, choć jego skalę trudno dziś precyzyjnie oszacować.</w:t>
      </w:r>
      <w:r>
        <w:rPr>
          <w:color w:val="000000"/>
        </w:rPr>
        <w:t xml:space="preserve"> Do tych szacunków trzeba jednak podchodzić z ostrożnością, bo te same zapytania potrafią krążyć po rynku kilkoma kanałami jednocześnie. Nawet przy konserwatywnym podejściu jest to wolumen istotny na tle polskiego rynku, na którym popyt brutto w I kwartale 2026 roku wyniósł 1,58 mln mkw.</w:t>
      </w:r>
    </w:p>
    <w:p w14:paraId="20319320" w14:textId="573ADDAA" w:rsidR="00FE3EE4" w:rsidRPr="00FE3EE4" w:rsidRDefault="00FE3EE4" w:rsidP="00FE3EE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lastRenderedPageBreak/>
        <w:t>Polska ma w tej układance mocną pozycję. Jest największym rynkiem magazynowym w CEE, z zasobami na poziomie ponad 37 mln mkw., rozwiniętą infrastrukturą drogową, dostępem do portów w Gdańsku i Gdyni, bliskością Niemiec oraz zapleczem operatorów logistycznych wyspecjalizowanych w obsłudze e-commerce. Jednocześnie nie zawsze konkuruje tak agresywnymi bezpośrednimi zachętami dla inwestorów jak niektóre inne rynki regionu, w tym Węgry. Dlatego jej przewagą musi być przede wszystkim skala rynku, jakość infrastruktury, dostępność nowoczesnej powierzchni i przewidywalność operacyjna.</w:t>
      </w:r>
    </w:p>
    <w:p w14:paraId="1B5C6FB5" w14:textId="0856B3AE" w:rsidR="00FE3EE4" w:rsidRDefault="00FE3EE4" w:rsidP="00FE3EE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Dla właścicieli i deweloperów magazynowych to szansa, ale również wyzwanie. Chińscy najemcy oczekują dużej skali, krótkiego czasu dostarczenia powierzchni, elastyczności technicznej i bardzo sprawnych procesów decyzyjnych. Jednocześnie ich profil ryzyka różni się od klasycznych, długoletnich operatorów logistycznych, dlatego dla właścicieli obiektów i funduszy inwestycyjnych kluczowa jest nie tylko sama skala zapotrzebowania, ale także siła gwarancji najemcy, jego profil </w:t>
      </w:r>
      <w:proofErr w:type="spellStart"/>
      <w:r>
        <w:rPr>
          <w:color w:val="000000"/>
        </w:rPr>
        <w:t>compliance</w:t>
      </w:r>
      <w:proofErr w:type="spellEnd"/>
      <w:r>
        <w:rPr>
          <w:color w:val="000000"/>
        </w:rPr>
        <w:t xml:space="preserve"> oraz ryzyko ponownej komercjalizacji powierzchni przygotowanej pod jednego użytkownika. Liczbę metrów trzeba więc oceniać razem z pewnością konkretnej umowy.</w:t>
      </w:r>
    </w:p>
    <w:p w14:paraId="34A019B3" w14:textId="06793CA3" w:rsidR="001D32DD" w:rsidRPr="00FE3EE4" w:rsidRDefault="001D32DD" w:rsidP="00FE3EE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7417E233" wp14:editId="2250DC58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3640960" cy="2600793"/>
            <wp:effectExtent l="0" t="0" r="4445" b="3175"/>
            <wp:wrapTopAndBottom/>
            <wp:docPr id="333530434" name="Picture 1" descr="A graph of a number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530434" name="Picture 1" descr="A graph of a number of people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960" cy="2600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FA6DD9" w14:textId="5C02EE19" w:rsidR="00FE3EE4" w:rsidRDefault="00FE3EE4" w:rsidP="00FE3EE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Taki popyt może zwiększyć presję na dostępność gotowych obiektów i w wybranych lokalizacjach ponownie otworzyć dyskusję o większej podaży spekulacyjnej, ograniczonej w ostatnich kwartałach po okresie największego boomu e-commerce. Dane z I kwartału 2026 roku dobrze pokazują to tło: </w:t>
      </w:r>
      <w:r>
        <w:rPr>
          <w:color w:val="000000"/>
        </w:rPr>
        <w:lastRenderedPageBreak/>
        <w:t xml:space="preserve">popyt netto w Polsce wzrósł o 78 proc. rok do roku, ale tylko ok. 37 proc. powierzchni w budowie powstaje spekulacyjnie, podczas gdy pozostała część jest realizowana dla najemców z już podpisanymi umowami. Widać to szczególnie na rynkach o wysokiej aktywności, takich jak Dolny Śląsk, gdzie pustostany spadły w ciągu jednego kwartału z poziomu dwucyfrowego do kilku procent. Oznacza to, że dużych, ciągłych modułów dostępnych od ręki jest dziś relatywnie niewiele. Jeśli zwiększona fala chińskich zapytań faktycznie się zmaterializuje, rynek może mieć trudność z </w:t>
      </w:r>
      <w:r w:rsidR="003838EB" w:rsidRPr="001D32DD">
        <w:rPr>
          <w:i/>
          <w:iCs/>
          <w:noProof/>
          <w:color w:val="000000"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7E90689B" wp14:editId="1501F1BE">
            <wp:simplePos x="0" y="0"/>
            <wp:positionH relativeFrom="column">
              <wp:posOffset>1905</wp:posOffset>
            </wp:positionH>
            <wp:positionV relativeFrom="paragraph">
              <wp:posOffset>1416050</wp:posOffset>
            </wp:positionV>
            <wp:extent cx="3741420" cy="1341120"/>
            <wp:effectExtent l="0" t="0" r="5080" b="5080"/>
            <wp:wrapTopAndBottom/>
            <wp:docPr id="1834672688" name="Picture 2" descr="A white room with a whit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672688" name="Picture 2" descr="A white room with a white background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42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</w:rPr>
        <w:t>obsłużeniem jej natychmiast, a temat budowy spekulacyjnej prawdopodobnie wróci.</w:t>
      </w:r>
    </w:p>
    <w:p w14:paraId="141FEE94" w14:textId="236E5D6D" w:rsidR="001D32DD" w:rsidRPr="001D32DD" w:rsidRDefault="001D32DD" w:rsidP="001D32DD">
      <w:pPr>
        <w:pBdr>
          <w:top w:val="nil"/>
          <w:left w:val="nil"/>
          <w:bottom w:val="nil"/>
          <w:right w:val="nil"/>
          <w:between w:val="nil"/>
        </w:pBdr>
        <w:jc w:val="center"/>
        <w:rPr>
          <w:i/>
          <w:iCs/>
          <w:color w:val="000000"/>
          <w:sz w:val="18"/>
          <w:szCs w:val="18"/>
        </w:rPr>
      </w:pPr>
      <w:r w:rsidRPr="001D32DD">
        <w:rPr>
          <w:i/>
          <w:iCs/>
          <w:color w:val="000000"/>
          <w:sz w:val="18"/>
          <w:szCs w:val="18"/>
        </w:rPr>
        <w:t>W Polsce, wg danych C&amp;W, budowa magazynu BTS trwa średnio ok. 5 kwartałów</w:t>
      </w:r>
    </w:p>
    <w:p w14:paraId="3AA3972D" w14:textId="17817021" w:rsidR="00F377AF" w:rsidRPr="00FE3EE4" w:rsidRDefault="00FE3EE4" w:rsidP="00FE3EE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Zmiana ceł może więc stać się jednym z czynników, które przyspieszą przesunięcie części przepływów towarowych z modelu bezpośrednich przesyłek transgranicznych w stronę europejskich </w:t>
      </w:r>
      <w:proofErr w:type="spellStart"/>
      <w:r>
        <w:rPr>
          <w:color w:val="000000"/>
        </w:rPr>
        <w:t>hubów</w:t>
      </w:r>
      <w:proofErr w:type="spellEnd"/>
      <w:r>
        <w:rPr>
          <w:color w:val="000000"/>
        </w:rPr>
        <w:t xml:space="preserve"> dystrybucyjnych. Dla Polski to szansa na wzmocnienie pozycji jako jednego z głównych punktów wejścia dla globalnego e-commerce do Unii Europejskiej. Warunkiem będzie jednak szybka reakcja rynku, dostępność odpowiedniej powierzchni oraz gotowoś</w:t>
      </w:r>
      <w:r>
        <w:t>ć</w:t>
      </w:r>
      <w:r>
        <w:rPr>
          <w:color w:val="000000"/>
        </w:rPr>
        <w:t xml:space="preserve"> do działania w tempie oczekiwanym przez nowych najemców. Warto przy tym pamiętać, że decyzji magazynowej nie należy podejmować wyłącznie pod presją czasu. W Europie największym kosztem nie zawsze jest sama stawka czynszu, ale źle dobrana lokalizacja lub obiekt, z którego trudno się później wycofać</w:t>
      </w:r>
    </w:p>
    <w:p w14:paraId="30EB7416" w14:textId="77777777" w:rsidR="00F377AF" w:rsidRDefault="00000000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- </w:t>
      </w:r>
      <w:r>
        <w:rPr>
          <w:b/>
          <w:bCs/>
          <w:sz w:val="16"/>
          <w:szCs w:val="16"/>
        </w:rPr>
        <w:t>KONIEC -</w:t>
      </w:r>
    </w:p>
    <w:p w14:paraId="53D1488E" w14:textId="77777777" w:rsidR="00F377AF" w:rsidRDefault="00F377AF">
      <w:pPr>
        <w:spacing w:line="240" w:lineRule="auto"/>
        <w:jc w:val="both"/>
        <w:rPr>
          <w:b/>
          <w:bCs/>
          <w:sz w:val="20"/>
          <w:szCs w:val="20"/>
        </w:rPr>
      </w:pPr>
    </w:p>
    <w:p w14:paraId="1ED96440" w14:textId="77777777" w:rsidR="00F377AF" w:rsidRDefault="00000000">
      <w:pPr>
        <w:spacing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16"/>
          <w:szCs w:val="16"/>
        </w:rPr>
        <w:t xml:space="preserve">O </w:t>
      </w:r>
      <w:proofErr w:type="spellStart"/>
      <w:r>
        <w:rPr>
          <w:b/>
          <w:bCs/>
          <w:sz w:val="16"/>
          <w:szCs w:val="16"/>
        </w:rPr>
        <w:t>Cushman</w:t>
      </w:r>
      <w:proofErr w:type="spellEnd"/>
      <w:r>
        <w:rPr>
          <w:b/>
          <w:bCs/>
          <w:sz w:val="16"/>
          <w:szCs w:val="16"/>
        </w:rPr>
        <w:t xml:space="preserve"> &amp; Wakefield</w:t>
      </w:r>
    </w:p>
    <w:p w14:paraId="14E7BDF9" w14:textId="77777777" w:rsidR="00F377AF" w:rsidRDefault="00000000">
      <w:pPr>
        <w:jc w:val="both"/>
        <w:rPr>
          <w:sz w:val="16"/>
          <w:szCs w:val="16"/>
        </w:rPr>
      </w:pPr>
      <w:proofErr w:type="spellStart"/>
      <w:r>
        <w:rPr>
          <w:sz w:val="16"/>
          <w:szCs w:val="16"/>
        </w:rPr>
        <w:t>Cushman</w:t>
      </w:r>
      <w:proofErr w:type="spellEnd"/>
      <w:r>
        <w:rPr>
          <w:sz w:val="16"/>
          <w:szCs w:val="16"/>
        </w:rPr>
        <w:t xml:space="preserve"> &amp; Wakefield (NYSE: CWK) jest wiodącą na świecie firmą świadczącą usługi na rzecz właścicieli i najemców nieruchomości komercyjnych. Zatrudnia ok. 52 tys. pracowników w niemal 400 biurach i 60 krajach na całym świecie. W 2024 roku jej przychody wyniosły 9,4 mld USD. Do najważniejszych usług świadczonych przez firmę należą m.in. zarządzanie nieruchomościami, obiektami i projektami, pośrednictwo w wynajmie powierzchni, obsługa transakcji na rynkach kapitałowych oraz wyceny. Za nieustanne dążenie do doskonałości zgodnie z zasadą </w:t>
      </w:r>
      <w:proofErr w:type="spellStart"/>
      <w:r>
        <w:rPr>
          <w:i/>
          <w:iCs/>
          <w:sz w:val="16"/>
          <w:szCs w:val="16"/>
        </w:rPr>
        <w:t>Better</w:t>
      </w:r>
      <w:proofErr w:type="spellEnd"/>
      <w:r>
        <w:rPr>
          <w:i/>
          <w:iCs/>
          <w:sz w:val="16"/>
          <w:szCs w:val="16"/>
        </w:rPr>
        <w:t xml:space="preserve"> </w:t>
      </w:r>
      <w:proofErr w:type="spellStart"/>
      <w:r>
        <w:rPr>
          <w:i/>
          <w:iCs/>
          <w:sz w:val="16"/>
          <w:szCs w:val="16"/>
        </w:rPr>
        <w:t>never</w:t>
      </w:r>
      <w:proofErr w:type="spellEnd"/>
      <w:r>
        <w:rPr>
          <w:i/>
          <w:iCs/>
          <w:sz w:val="16"/>
          <w:szCs w:val="16"/>
        </w:rPr>
        <w:t xml:space="preserve"> </w:t>
      </w:r>
      <w:proofErr w:type="spellStart"/>
      <w:r>
        <w:rPr>
          <w:i/>
          <w:iCs/>
          <w:sz w:val="16"/>
          <w:szCs w:val="16"/>
        </w:rPr>
        <w:t>settles</w:t>
      </w:r>
      <w:proofErr w:type="spellEnd"/>
      <w:r>
        <w:rPr>
          <w:sz w:val="16"/>
          <w:szCs w:val="16"/>
        </w:rPr>
        <w:t> </w:t>
      </w:r>
      <w:proofErr w:type="spellStart"/>
      <w:r>
        <w:rPr>
          <w:sz w:val="16"/>
          <w:szCs w:val="16"/>
        </w:rPr>
        <w:t>Cushman</w:t>
      </w:r>
      <w:proofErr w:type="spellEnd"/>
      <w:r>
        <w:rPr>
          <w:sz w:val="16"/>
          <w:szCs w:val="16"/>
        </w:rPr>
        <w:t xml:space="preserve"> &amp; Wakefield otrzymuje wiele wyróżnień oraz nagród w konkursach branżowych i biznesowych. Dodatkowe informacje na stronie </w:t>
      </w:r>
      <w:hyperlink r:id="rId9">
        <w:r w:rsidR="00F377AF">
          <w:rPr>
            <w:color w:val="4472C4"/>
            <w:sz w:val="16"/>
            <w:szCs w:val="16"/>
            <w:u w:val="single"/>
          </w:rPr>
          <w:t>www.cushmanwakefield.com</w:t>
        </w:r>
      </w:hyperlink>
      <w:r>
        <w:rPr>
          <w:sz w:val="16"/>
          <w:szCs w:val="16"/>
        </w:rPr>
        <w:t xml:space="preserve">. </w:t>
      </w:r>
    </w:p>
    <w:p w14:paraId="196FC151" w14:textId="77777777" w:rsidR="00F377AF" w:rsidRDefault="00F377AF">
      <w:pPr>
        <w:jc w:val="center"/>
        <w:rPr>
          <w:sz w:val="16"/>
          <w:szCs w:val="16"/>
        </w:rPr>
      </w:pPr>
    </w:p>
    <w:sectPr w:rsidR="00F377AF">
      <w:headerReference w:type="default" r:id="rId10"/>
      <w:footerReference w:type="default" r:id="rId11"/>
      <w:headerReference w:type="first" r:id="rId12"/>
      <w:footerReference w:type="first" r:id="rId13"/>
      <w:pgSz w:w="11907" w:h="16839"/>
      <w:pgMar w:top="3600" w:right="1008" w:bottom="2880" w:left="1224" w:header="1800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459945" w14:textId="77777777" w:rsidR="00C715E5" w:rsidRDefault="00C715E5">
      <w:pPr>
        <w:spacing w:after="0" w:line="240" w:lineRule="auto"/>
      </w:pPr>
      <w:r>
        <w:separator/>
      </w:r>
    </w:p>
  </w:endnote>
  <w:endnote w:type="continuationSeparator" w:id="0">
    <w:p w14:paraId="3C01C5A5" w14:textId="77777777" w:rsidR="00C715E5" w:rsidRDefault="00C715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235A01F3-DCB1-5B4A-9577-F2DD4D335871}"/>
    <w:embedBold r:id="rId2" w:fontKey="{7A559BBE-23E8-6F45-9548-487FE853E38D}"/>
    <w:embedItalic r:id="rId3" w:fontKey="{DA9289E0-45B2-E043-AADA-DAFB59ABC66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1D6880C8-D50C-9B45-B2A8-629413AC83C6}"/>
    <w:embedBold r:id="rId5" w:fontKey="{FD2D5A23-670A-ED40-90A8-A612AE52584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6" w:fontKey="{F9C2B07F-D03A-034E-8FC1-238131C288C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463D2871-5896-BB4B-9124-9867EECE69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7288C48A-39AC-D44D-B26A-6CFFA2D9C5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E47E05" w14:textId="77777777" w:rsidR="00F377AF" w:rsidRDefault="00F377AF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</w:rPr>
    </w:pPr>
  </w:p>
  <w:tbl>
    <w:tblPr>
      <w:tblStyle w:val="a"/>
      <w:tblW w:w="9000" w:type="dxa"/>
      <w:tblInd w:w="0" w:type="dxa"/>
      <w:tblLayout w:type="fixed"/>
      <w:tblLook w:val="0400" w:firstRow="0" w:lastRow="0" w:firstColumn="0" w:lastColumn="0" w:noHBand="0" w:noVBand="1"/>
    </w:tblPr>
    <w:tblGrid>
      <w:gridCol w:w="9000"/>
    </w:tblGrid>
    <w:tr w:rsidR="00F377AF" w14:paraId="052282BE" w14:textId="77777777" w:rsidTr="006059C6">
      <w:trPr>
        <w:trHeight w:val="630"/>
      </w:trPr>
      <w:tc>
        <w:tcPr>
          <w:tcW w:w="9000" w:type="dxa"/>
          <w:vAlign w:val="bottom"/>
        </w:tcPr>
        <w:p w14:paraId="7FC35F0D" w14:textId="77777777" w:rsidR="00F377AF" w:rsidRDefault="00000000">
          <w:pPr>
            <w:pStyle w:val="Heading2"/>
            <w:rPr>
              <w:rFonts w:ascii="Arial" w:eastAsia="Arial" w:hAnsi="Arial" w:cs="Arial"/>
              <w:color w:val="000000"/>
            </w:rPr>
          </w:pPr>
          <w:r>
            <w:rPr>
              <w:rFonts w:ascii="Arial" w:eastAsia="Arial" w:hAnsi="Arial" w:cs="Arial"/>
              <w:color w:val="000000"/>
            </w:rPr>
            <w:t>Dodatkowe informacje:</w:t>
          </w:r>
        </w:p>
      </w:tc>
    </w:tr>
    <w:tr w:rsidR="00F377AF" w:rsidRPr="001D32DD" w14:paraId="2F583633" w14:textId="77777777" w:rsidTr="006059C6">
      <w:trPr>
        <w:trHeight w:val="1260"/>
      </w:trPr>
      <w:tc>
        <w:tcPr>
          <w:tcW w:w="9000" w:type="dxa"/>
          <w:tcBorders>
            <w:top w:val="single" w:sz="4" w:space="0" w:color="FFFFFF" w:themeColor="background1"/>
          </w:tcBorders>
        </w:tcPr>
        <w:p w14:paraId="17FE60CF" w14:textId="77777777" w:rsidR="00F377AF" w:rsidRDefault="00F377A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color w:val="000000"/>
            </w:rPr>
          </w:pPr>
        </w:p>
        <w:tbl>
          <w:tblPr>
            <w:tblStyle w:val="a0"/>
            <w:tblW w:w="8780" w:type="dxa"/>
            <w:tblInd w:w="0" w:type="dxa"/>
            <w:tblLayout w:type="fixed"/>
            <w:tblLook w:val="04A0" w:firstRow="1" w:lastRow="0" w:firstColumn="1" w:lastColumn="0" w:noHBand="0" w:noVBand="1"/>
          </w:tblPr>
          <w:tblGrid>
            <w:gridCol w:w="8780"/>
            <w:gridCol w:w="220"/>
          </w:tblGrid>
          <w:tr w:rsidR="00E52D5B" w:rsidRPr="001D32DD" w14:paraId="0B16F861" w14:textId="77777777" w:rsidTr="00E52D5B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val="1164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8560" w:type="dxa"/>
              </w:tcPr>
              <w:p w14:paraId="14D49801" w14:textId="77777777" w:rsidR="00E52D5B" w:rsidRDefault="00E52D5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rPr>
                    <w:color w:val="000000"/>
                  </w:rPr>
                </w:pPr>
              </w:p>
              <w:tbl>
                <w:tblPr>
                  <w:tblStyle w:val="a1"/>
                  <w:tblW w:w="11827" w:type="dxa"/>
                  <w:tblInd w:w="0" w:type="dxa"/>
                  <w:tblLayout w:type="fixed"/>
                  <w:tblLook w:val="0400" w:firstRow="0" w:lastRow="0" w:firstColumn="0" w:lastColumn="0" w:noHBand="0" w:noVBand="1"/>
                </w:tblPr>
                <w:tblGrid>
                  <w:gridCol w:w="4004"/>
                  <w:gridCol w:w="710"/>
                  <w:gridCol w:w="7113"/>
                </w:tblGrid>
                <w:tr w:rsidR="00E52D5B" w:rsidRPr="001D32DD" w14:paraId="1471AD0C" w14:textId="77777777" w:rsidTr="006059C6">
                  <w:trPr>
                    <w:trHeight w:val="738"/>
                  </w:trPr>
                  <w:tc>
                    <w:tcPr>
                      <w:tcW w:w="1693" w:type="pct"/>
                    </w:tcPr>
                    <w:p w14:paraId="3AD817AF" w14:textId="77777777" w:rsidR="00E52D5B" w:rsidRPr="00E52D5B" w:rsidRDefault="00E52D5B" w:rsidP="00E52D5B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E52D5B">
                        <w:rPr>
                          <w:sz w:val="18"/>
                          <w:szCs w:val="18"/>
                          <w:lang w:val="en-US"/>
                        </w:rPr>
                        <w:t xml:space="preserve">Karolina </w:t>
                      </w:r>
                      <w:proofErr w:type="spellStart"/>
                      <w:r w:rsidRPr="00E52D5B">
                        <w:rPr>
                          <w:sz w:val="18"/>
                          <w:szCs w:val="18"/>
                          <w:lang w:val="en-US"/>
                        </w:rPr>
                        <w:t>Samczyńska-Fiślak</w:t>
                      </w:r>
                      <w:proofErr w:type="spellEnd"/>
                    </w:p>
                    <w:p w14:paraId="0F116CB1" w14:textId="77777777" w:rsidR="00E52D5B" w:rsidRPr="00E52D5B" w:rsidRDefault="00E52D5B" w:rsidP="00E52D5B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E52D5B">
                        <w:rPr>
                          <w:sz w:val="18"/>
                          <w:szCs w:val="18"/>
                          <w:lang w:val="en-US"/>
                        </w:rPr>
                        <w:t xml:space="preserve">Cushman &amp; Wakefield </w:t>
                      </w:r>
                    </w:p>
                    <w:p w14:paraId="2A838D28" w14:textId="77777777" w:rsidR="00E52D5B" w:rsidRPr="00E52D5B" w:rsidRDefault="00E52D5B" w:rsidP="00E52D5B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E52D5B">
                        <w:rPr>
                          <w:sz w:val="18"/>
                          <w:szCs w:val="18"/>
                          <w:lang w:val="en-US"/>
                        </w:rPr>
                        <w:t>Tel: + 48 22 820 20 20; 691 060 202</w:t>
                      </w:r>
                    </w:p>
                    <w:p w14:paraId="13CAFC9E" w14:textId="216F5905" w:rsidR="00E52D5B" w:rsidRPr="00E52D5B" w:rsidRDefault="00E52D5B" w:rsidP="00E52D5B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E52D5B">
                        <w:rPr>
                          <w:sz w:val="18"/>
                          <w:szCs w:val="18"/>
                          <w:lang w:val="en-US"/>
                        </w:rPr>
                        <w:t xml:space="preserve">e-mail: </w:t>
                      </w:r>
                      <w:r>
                        <w:fldChar w:fldCharType="begin"/>
                      </w:r>
                      <w:r w:rsidRPr="001D32DD">
                        <w:rPr>
                          <w:lang w:val="en-US"/>
                        </w:rPr>
                        <w:instrText>HYPERLINK "mailto:karolina.samczynska@cushwake.com"</w:instrText>
                      </w:r>
                      <w:r>
                        <w:fldChar w:fldCharType="separate"/>
                      </w:r>
                      <w:r w:rsidRPr="00622EF7">
                        <w:rPr>
                          <w:rStyle w:val="Hyperlink"/>
                          <w:sz w:val="18"/>
                          <w:szCs w:val="18"/>
                          <w:lang w:val="en-US"/>
                        </w:rPr>
                        <w:t>karolina.samczynska@cushwake.com</w:t>
                      </w:r>
                      <w:r>
                        <w:rPr>
                          <w:rStyle w:val="Hyperlink"/>
                          <w:sz w:val="18"/>
                          <w:szCs w:val="18"/>
                          <w:lang w:val="en-US"/>
                        </w:rPr>
                        <w:fldChar w:fldCharType="end"/>
                      </w:r>
                      <w:r w:rsidRPr="00E52D5B">
                        <w:rPr>
                          <w:color w:val="008B98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</w:tc>
                  <w:tc>
                    <w:tcPr>
                      <w:tcW w:w="300" w:type="pct"/>
                    </w:tcPr>
                    <w:p w14:paraId="27A13C1F" w14:textId="77777777" w:rsidR="00E52D5B" w:rsidRPr="00E52D5B" w:rsidRDefault="00E52D5B" w:rsidP="00E52D5B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</w:tc>
                  <w:tc>
                    <w:tcPr>
                      <w:tcW w:w="3007" w:type="pct"/>
                    </w:tcPr>
                    <w:p w14:paraId="55F5332E" w14:textId="0C986567" w:rsidR="00E52D5B" w:rsidRPr="00AE5277" w:rsidRDefault="00E52D5B" w:rsidP="00E52D5B">
                      <w:pPr>
                        <w:rPr>
                          <w:sz w:val="18"/>
                          <w:szCs w:val="18"/>
                          <w:lang w:val="pl-PL"/>
                        </w:rPr>
                      </w:pPr>
                      <w:r w:rsidRPr="00AE5277">
                        <w:rPr>
                          <w:sz w:val="18"/>
                          <w:szCs w:val="18"/>
                          <w:lang w:val="pl-PL"/>
                        </w:rPr>
                        <w:t xml:space="preserve">Magdalena Znyk-Ossowska </w:t>
                      </w:r>
                    </w:p>
                    <w:p w14:paraId="5899E735" w14:textId="1D5A8333" w:rsidR="00E52D5B" w:rsidRPr="00AE5277" w:rsidRDefault="00E52D5B" w:rsidP="00E52D5B">
                      <w:pPr>
                        <w:rPr>
                          <w:sz w:val="18"/>
                          <w:szCs w:val="18"/>
                          <w:lang w:val="pl-PL"/>
                        </w:rPr>
                      </w:pPr>
                      <w:r w:rsidRPr="00AE5277">
                        <w:rPr>
                          <w:sz w:val="18"/>
                          <w:szCs w:val="18"/>
                          <w:lang w:val="pl-PL"/>
                        </w:rPr>
                        <w:t>Linkleaders</w:t>
                      </w:r>
                    </w:p>
                    <w:p w14:paraId="2347C036" w14:textId="3BE395D1" w:rsidR="00E52D5B" w:rsidRPr="00AE5277" w:rsidRDefault="00E52D5B" w:rsidP="00E52D5B">
                      <w:pPr>
                        <w:rPr>
                          <w:sz w:val="18"/>
                          <w:szCs w:val="18"/>
                          <w:lang w:val="pl-PL"/>
                        </w:rPr>
                      </w:pPr>
                      <w:r w:rsidRPr="00AE5277">
                        <w:rPr>
                          <w:sz w:val="18"/>
                          <w:szCs w:val="18"/>
                          <w:lang w:val="pl-PL"/>
                        </w:rPr>
                        <w:t>Tel: + 48 502 556 846</w:t>
                      </w:r>
                    </w:p>
                    <w:p w14:paraId="6D49FF01" w14:textId="655D00BD" w:rsidR="00E52D5B" w:rsidRPr="00E52D5B" w:rsidRDefault="00E52D5B" w:rsidP="00E52D5B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E52D5B">
                        <w:rPr>
                          <w:sz w:val="18"/>
                          <w:szCs w:val="18"/>
                          <w:lang w:val="en-US"/>
                        </w:rPr>
                        <w:t xml:space="preserve">e-mail: </w:t>
                      </w:r>
                      <w:r>
                        <w:fldChar w:fldCharType="begin"/>
                      </w:r>
                      <w:r w:rsidRPr="001D32DD">
                        <w:rPr>
                          <w:lang w:val="en-US"/>
                        </w:rPr>
                        <w:instrText>HYPERLINK "mailto:magdalena.ossowska@linkleaders.pl"</w:instrText>
                      </w:r>
                      <w:r>
                        <w:fldChar w:fldCharType="separate"/>
                      </w:r>
                      <w:r w:rsidRPr="00E52D5B">
                        <w:rPr>
                          <w:rStyle w:val="Hyperlink"/>
                          <w:rFonts w:eastAsia="Calibri"/>
                          <w:b/>
                          <w:bCs/>
                          <w:sz w:val="18"/>
                          <w:szCs w:val="18"/>
                          <w:lang w:val="en-US"/>
                        </w:rPr>
                        <w:t>magdalena.ossowska@linkleaders.pl</w:t>
                      </w:r>
                      <w:r>
                        <w:rPr>
                          <w:rStyle w:val="Hyperlink"/>
                          <w:rFonts w:eastAsia="Calibri"/>
                          <w:b/>
                          <w:bCs/>
                          <w:sz w:val="18"/>
                          <w:szCs w:val="18"/>
                          <w:lang w:val="en-US"/>
                        </w:rPr>
                        <w:fldChar w:fldCharType="end"/>
                      </w:r>
                    </w:p>
                  </w:tc>
                </w:tr>
              </w:tbl>
              <w:p w14:paraId="680868DE" w14:textId="77777777" w:rsidR="00E52D5B" w:rsidRPr="006059C6" w:rsidRDefault="00E52D5B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rPr>
                    <w:rFonts w:ascii="Calibri" w:eastAsia="Calibri" w:hAnsi="Calibri" w:cs="Calibri"/>
                    <w:color w:val="000000"/>
                    <w:sz w:val="18"/>
                    <w:szCs w:val="18"/>
                    <w:lang w:val="en-US"/>
                  </w:rPr>
                </w:pPr>
              </w:p>
            </w:tc>
            <w:tc>
              <w:tcPr>
                <w:tcW w:w="220" w:type="dxa"/>
              </w:tcPr>
              <w:p w14:paraId="527ECF80" w14:textId="77777777" w:rsidR="00E52D5B" w:rsidRPr="006059C6" w:rsidRDefault="00E52D5B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Calibri" w:hAnsi="Calibri" w:cs="Calibri"/>
                    <w:color w:val="000000"/>
                    <w:sz w:val="18"/>
                    <w:szCs w:val="18"/>
                    <w:lang w:val="en-US"/>
                  </w:rPr>
                </w:pPr>
              </w:p>
              <w:p w14:paraId="65EB332B" w14:textId="77777777" w:rsidR="00E52D5B" w:rsidRPr="006059C6" w:rsidRDefault="00E52D5B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Calibri" w:hAnsi="Calibri" w:cs="Calibri"/>
                    <w:color w:val="000000"/>
                    <w:sz w:val="18"/>
                    <w:szCs w:val="18"/>
                    <w:lang w:val="en-US"/>
                  </w:rPr>
                </w:pPr>
              </w:p>
            </w:tc>
          </w:tr>
        </w:tbl>
        <w:p w14:paraId="0B43491B" w14:textId="77777777" w:rsidR="00F377AF" w:rsidRPr="006059C6" w:rsidRDefault="00F377AF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Calibri" w:eastAsia="Calibri" w:hAnsi="Calibri" w:cs="Calibri"/>
              <w:color w:val="000000"/>
              <w:sz w:val="18"/>
              <w:szCs w:val="18"/>
              <w:lang w:val="en-US"/>
            </w:rPr>
          </w:pPr>
        </w:p>
      </w:tc>
    </w:tr>
  </w:tbl>
  <w:p w14:paraId="66240E81" w14:textId="77777777" w:rsidR="00F377AF" w:rsidRPr="006059C6" w:rsidRDefault="00F377A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BDA62D" w14:textId="77777777" w:rsidR="00F377AF" w:rsidRDefault="00F377AF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</w:rPr>
    </w:pPr>
  </w:p>
  <w:tbl>
    <w:tblPr>
      <w:tblStyle w:val="a2"/>
      <w:tblW w:w="9000" w:type="dxa"/>
      <w:tblInd w:w="0" w:type="dxa"/>
      <w:tblLayout w:type="fixed"/>
      <w:tblLook w:val="0400" w:firstRow="0" w:lastRow="0" w:firstColumn="0" w:lastColumn="0" w:noHBand="0" w:noVBand="1"/>
    </w:tblPr>
    <w:tblGrid>
      <w:gridCol w:w="5670"/>
      <w:gridCol w:w="3330"/>
    </w:tblGrid>
    <w:tr w:rsidR="00F377AF" w14:paraId="1322F75A" w14:textId="77777777">
      <w:trPr>
        <w:trHeight w:val="630"/>
      </w:trPr>
      <w:tc>
        <w:tcPr>
          <w:tcW w:w="5670" w:type="dxa"/>
          <w:vAlign w:val="bottom"/>
        </w:tcPr>
        <w:p w14:paraId="459CF4B9" w14:textId="77777777" w:rsidR="00F377AF" w:rsidRDefault="00000000">
          <w:pPr>
            <w:pStyle w:val="Heading2"/>
            <w:rPr>
              <w:rFonts w:ascii="Arial" w:eastAsia="Arial" w:hAnsi="Arial" w:cs="Arial"/>
              <w:color w:val="696B6B"/>
            </w:rPr>
          </w:pPr>
          <w:r>
            <w:rPr>
              <w:rFonts w:ascii="Arial" w:eastAsia="Arial" w:hAnsi="Arial" w:cs="Arial"/>
              <w:color w:val="696B6B"/>
            </w:rPr>
            <w:t xml:space="preserve">Media </w:t>
          </w:r>
          <w:proofErr w:type="spellStart"/>
          <w:r>
            <w:rPr>
              <w:rFonts w:ascii="Arial" w:eastAsia="Arial" w:hAnsi="Arial" w:cs="Arial"/>
              <w:color w:val="696B6B"/>
            </w:rPr>
            <w:t>Contact</w:t>
          </w:r>
          <w:proofErr w:type="spellEnd"/>
          <w:r>
            <w:rPr>
              <w:rFonts w:ascii="Arial" w:eastAsia="Arial" w:hAnsi="Arial" w:cs="Arial"/>
              <w:color w:val="696B6B"/>
            </w:rPr>
            <w:t>:</w:t>
          </w:r>
        </w:p>
      </w:tc>
      <w:tc>
        <w:tcPr>
          <w:tcW w:w="3330" w:type="dxa"/>
          <w:vAlign w:val="bottom"/>
        </w:tcPr>
        <w:p w14:paraId="31653805" w14:textId="77777777" w:rsidR="00F377AF" w:rsidRDefault="00F377AF">
          <w:pPr>
            <w:spacing w:after="100" w:line="240" w:lineRule="auto"/>
            <w:rPr>
              <w:b/>
              <w:bCs/>
              <w:color w:val="696B6B"/>
              <w:sz w:val="18"/>
              <w:szCs w:val="18"/>
            </w:rPr>
          </w:pPr>
        </w:p>
      </w:tc>
    </w:tr>
    <w:tr w:rsidR="00F377AF" w:rsidRPr="001D32DD" w14:paraId="65062D63" w14:textId="77777777">
      <w:trPr>
        <w:trHeight w:val="1260"/>
      </w:trPr>
      <w:tc>
        <w:tcPr>
          <w:tcW w:w="5670" w:type="dxa"/>
          <w:vAlign w:val="bottom"/>
        </w:tcPr>
        <w:p w14:paraId="3F7801E0" w14:textId="77777777" w:rsidR="00F377AF" w:rsidRPr="006059C6" w:rsidRDefault="00000000">
          <w:pPr>
            <w:keepNext/>
            <w:keepLines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b/>
              <w:bCs/>
              <w:color w:val="696B6B"/>
              <w:sz w:val="18"/>
              <w:szCs w:val="18"/>
              <w:lang w:val="en-US"/>
            </w:rPr>
          </w:pPr>
          <w:r w:rsidRPr="006059C6">
            <w:rPr>
              <w:b/>
              <w:bCs/>
              <w:color w:val="696B6B"/>
              <w:sz w:val="18"/>
              <w:szCs w:val="18"/>
              <w:lang w:val="en-US"/>
            </w:rPr>
            <w:t>Name</w:t>
          </w:r>
        </w:p>
        <w:p w14:paraId="79ECC178" w14:textId="77777777" w:rsidR="00F377AF" w:rsidRPr="006059C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color w:val="696B6B"/>
              <w:sz w:val="18"/>
              <w:szCs w:val="18"/>
              <w:lang w:val="en-US"/>
            </w:rPr>
          </w:pPr>
          <w:r w:rsidRPr="006059C6">
            <w:rPr>
              <w:color w:val="696B6B"/>
              <w:sz w:val="18"/>
              <w:szCs w:val="18"/>
              <w:lang w:val="en-US"/>
            </w:rPr>
            <w:t>Title</w:t>
          </w:r>
        </w:p>
        <w:p w14:paraId="0AC7034C" w14:textId="77777777" w:rsidR="00F377AF" w:rsidRPr="006059C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color w:val="696B6B"/>
              <w:sz w:val="18"/>
              <w:szCs w:val="18"/>
              <w:lang w:val="en-US"/>
            </w:rPr>
          </w:pPr>
          <w:r w:rsidRPr="006059C6">
            <w:rPr>
              <w:color w:val="696B6B"/>
              <w:sz w:val="18"/>
              <w:szCs w:val="18"/>
              <w:lang w:val="en-US"/>
            </w:rPr>
            <w:t>+1 000 000 0000</w:t>
          </w:r>
        </w:p>
        <w:p w14:paraId="0FD620E7" w14:textId="77777777" w:rsidR="00F377AF" w:rsidRPr="006059C6" w:rsidRDefault="00F377AF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color w:val="696B6B"/>
              <w:sz w:val="18"/>
              <w:szCs w:val="18"/>
              <w:lang w:val="en-US"/>
            </w:rPr>
          </w:pPr>
          <w:hyperlink r:id="rId1">
            <w:r w:rsidRPr="006059C6">
              <w:rPr>
                <w:color w:val="4472C4"/>
                <w:sz w:val="18"/>
                <w:szCs w:val="18"/>
                <w:u w:val="single"/>
                <w:lang w:val="en-US"/>
              </w:rPr>
              <w:t>first.last@cushwake.com</w:t>
            </w:r>
          </w:hyperlink>
          <w:r w:rsidRPr="006059C6">
            <w:rPr>
              <w:color w:val="696B6B"/>
              <w:sz w:val="18"/>
              <w:szCs w:val="18"/>
              <w:lang w:val="en-US"/>
            </w:rPr>
            <w:t xml:space="preserve"> </w:t>
          </w:r>
        </w:p>
      </w:tc>
      <w:tc>
        <w:tcPr>
          <w:tcW w:w="3330" w:type="dxa"/>
          <w:vAlign w:val="bottom"/>
        </w:tcPr>
        <w:p w14:paraId="24B8EA6D" w14:textId="77777777" w:rsidR="00F377AF" w:rsidRPr="006059C6" w:rsidRDefault="00F377AF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color w:val="696B6B"/>
              <w:sz w:val="18"/>
              <w:szCs w:val="18"/>
              <w:lang w:val="en-US"/>
            </w:rPr>
          </w:pPr>
        </w:p>
      </w:tc>
    </w:tr>
  </w:tbl>
  <w:p w14:paraId="39082E58" w14:textId="77777777" w:rsidR="00F377AF" w:rsidRPr="006059C6" w:rsidRDefault="00F377A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ECCF7B" w14:textId="77777777" w:rsidR="00C715E5" w:rsidRDefault="00C715E5">
      <w:pPr>
        <w:spacing w:after="0" w:line="240" w:lineRule="auto"/>
      </w:pPr>
      <w:r>
        <w:separator/>
      </w:r>
    </w:p>
  </w:footnote>
  <w:footnote w:type="continuationSeparator" w:id="0">
    <w:p w14:paraId="6C9CBBA1" w14:textId="77777777" w:rsidR="00C715E5" w:rsidRDefault="00C715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C35162" w14:textId="77777777" w:rsidR="00F377A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8594D36" wp14:editId="34F3DCD2">
          <wp:simplePos x="0" y="0"/>
          <wp:positionH relativeFrom="column">
            <wp:posOffset>43134</wp:posOffset>
          </wp:positionH>
          <wp:positionV relativeFrom="paragraph">
            <wp:posOffset>-154973</wp:posOffset>
          </wp:positionV>
          <wp:extent cx="1933575" cy="407670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33575" cy="407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5FB2E9" w14:textId="77777777" w:rsidR="00F377A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0A6B33B7" wp14:editId="4DABBBA3">
          <wp:simplePos x="0" y="0"/>
          <wp:positionH relativeFrom="column">
            <wp:posOffset>3813</wp:posOffset>
          </wp:positionH>
          <wp:positionV relativeFrom="paragraph">
            <wp:posOffset>-201292</wp:posOffset>
          </wp:positionV>
          <wp:extent cx="1933575" cy="407670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33575" cy="407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77AF"/>
    <w:rsid w:val="00187625"/>
    <w:rsid w:val="001D32DD"/>
    <w:rsid w:val="00204F14"/>
    <w:rsid w:val="003838EB"/>
    <w:rsid w:val="003C5D09"/>
    <w:rsid w:val="004E162C"/>
    <w:rsid w:val="006059C6"/>
    <w:rsid w:val="007027CF"/>
    <w:rsid w:val="008862B5"/>
    <w:rsid w:val="00AE5277"/>
    <w:rsid w:val="00B7353F"/>
    <w:rsid w:val="00C56CD3"/>
    <w:rsid w:val="00C715E5"/>
    <w:rsid w:val="00E52D5B"/>
    <w:rsid w:val="00F377AF"/>
    <w:rsid w:val="00FE3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992AE0F"/>
  <w15:docId w15:val="{C48957F1-DA03-3541-A331-DDC923991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after="100"/>
      <w:outlineLvl w:val="1"/>
    </w:pPr>
    <w:rPr>
      <w:rFonts w:ascii="Calibri" w:eastAsia="Calibri" w:hAnsi="Calibri" w:cs="Calibri"/>
      <w:b/>
      <w:bCs/>
      <w:smallCaps/>
      <w:color w:val="008B98"/>
      <w:sz w:val="18"/>
      <w:szCs w:val="1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rFonts w:ascii="Calibri" w:eastAsia="Calibri" w:hAnsi="Calibri" w:cs="Calibri"/>
      <w:color w:val="1F3863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059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59C6"/>
  </w:style>
  <w:style w:type="paragraph" w:styleId="Footer">
    <w:name w:val="footer"/>
    <w:basedOn w:val="Normal"/>
    <w:link w:val="FooterChar"/>
    <w:uiPriority w:val="99"/>
    <w:unhideWhenUsed/>
    <w:rsid w:val="006059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59C6"/>
  </w:style>
  <w:style w:type="character" w:styleId="Hyperlink">
    <w:name w:val="Hyperlink"/>
    <w:basedOn w:val="DefaultParagraphFont"/>
    <w:uiPriority w:val="99"/>
    <w:unhideWhenUsed/>
    <w:rsid w:val="006059C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59C6"/>
    <w:rPr>
      <w:color w:val="605E5C"/>
      <w:shd w:val="clear" w:color="auto" w:fill="E1DFDD"/>
    </w:rPr>
  </w:style>
  <w:style w:type="paragraph" w:customStyle="1" w:styleId="FirstParagraph">
    <w:name w:val="First Paragraph"/>
    <w:basedOn w:val="BodyText"/>
    <w:next w:val="BodyText"/>
    <w:qFormat/>
    <w:rsid w:val="00AE5277"/>
    <w:pPr>
      <w:spacing w:before="180" w:after="180" w:line="240" w:lineRule="auto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AE527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E5277"/>
  </w:style>
  <w:style w:type="paragraph" w:styleId="NormalWeb">
    <w:name w:val="Normal (Web)"/>
    <w:basedOn w:val="Normal"/>
    <w:uiPriority w:val="99"/>
    <w:unhideWhenUsed/>
    <w:rsid w:val="00AE52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cushmanwakefield.com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first.last@cushwak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u/jH56DMit6x6R/nHQmAEwOR6Q==">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950</Words>
  <Characters>5417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magdalena ossowska</cp:lastModifiedBy>
  <cp:revision>5</cp:revision>
  <dcterms:created xsi:type="dcterms:W3CDTF">2026-06-24T16:53:00Z</dcterms:created>
  <dcterms:modified xsi:type="dcterms:W3CDTF">2026-06-30T13:04:00Z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01c4386eb9a1dc9de2fec12738f87015bcc4ef4c8803dccae430c9e60e042de1</vt:lpwstr>
  </property>
  <property fmtid="{D5CDD505-2E9C-101B-9397-08002B2CF9AE}" pid="3" name="ContentTypeId">
    <vt:lpwstr>0x010100C609ED7BA2763A478EDE0130F91B5123</vt:lpwstr>
  </property>
</Properties>
</file>