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-6350</wp:posOffset>
                </wp:positionV>
                <wp:extent cx="6082574" cy="651055"/>
                <wp:effectExtent b="0" l="0" r="0" t="0"/>
                <wp:wrapNone/>
                <wp:docPr id="1" name=""/>
                <a:graphic>
                  <a:graphicData uri="http://schemas.microsoft.com/office/word/2010/wordprocessingShape">
                    <wps:wsp>
                      <wps:cNvSpPr/>
                      <wps:cNvPr id="2" name="Shape 2"/>
                      <wps:spPr>
                        <a:xfrm>
                          <a:off x="2311063" y="3460823"/>
                          <a:ext cx="6069874" cy="638355"/>
                        </a:xfrm>
                        <a:prstGeom prst="rect">
                          <a:avLst/>
                        </a:prstGeom>
                        <a:noFill/>
                        <a:ln cap="flat" cmpd="sng" w="127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ff0000"/>
                                <w:sz w:val="22"/>
                                <w:u w:val="single"/>
                                <w:vertAlign w:val="baseline"/>
                              </w:rPr>
                              <w:t xml:space="preserve">Îndrumări pentru reprezentanții Samsung de relații cu publicul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00"/>
                                <w:sz w:val="22"/>
                                <w:u w:val="single"/>
                                <w:vertAlign w:val="baseline"/>
                              </w:rPr>
                            </w:r>
                            <w:r w:rsidDel="00000000" w:rsidR="00000000" w:rsidRPr="00000000">
                              <w:rPr>
                                <w:rFonts w:ascii="Arial" w:cs="Arial" w:eastAsia="Arial" w:hAnsi="Arial"/>
                                <w:b w:val="0"/>
                                <w:i w:val="0"/>
                                <w:smallCaps w:val="0"/>
                                <w:strike w:val="0"/>
                                <w:color w:val="ff0000"/>
                                <w:sz w:val="16"/>
                                <w:vertAlign w:val="baseline"/>
                              </w:rPr>
                              <w:t xml:space="preserve">Vă rugăm să prezentați către publicațiile de tehnologie selectate, pe baza informațiilor de mai jos. Rețineți că nu vom distribui un comunicat de presă prin agențiile de știri sau pe Newsroom. Embargoul este stabilit pentru: ▲14 iulie, 9:00 PDT ▲14 iulie, 18:00 CET ▲15 iulie, 1:00 KST.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-6350</wp:posOffset>
                </wp:positionV>
                <wp:extent cx="6082574" cy="6510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82574" cy="65105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drawing>
          <wp:inline distB="0" distT="0" distL="0" distR="0">
            <wp:extent cx="1381916" cy="214197"/>
            <wp:effectExtent b="0" l="0" r="0" t="0"/>
            <wp:docPr descr="O literă albastră pe fundal negru&#10;&#10;Descriere generată automat" id="2" name="image1.png"/>
            <a:graphic>
              <a:graphicData uri="http://schemas.openxmlformats.org/drawingml/2006/picture">
                <pic:pic>
                  <pic:nvPicPr>
                    <pic:cNvPr descr="O literă albastră pe fundal negru&#10;&#10;Descriere generată automat" id="0" name="image1.png"/>
                    <pic:cNvPicPr preferRelativeResize="0"/>
                  </pic:nvPicPr>
                  <pic:blipFill>
                    <a:blip r:embed="rId9"/>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Samsung prezintă noul SSD 990, cu performanțe de top și eficiență energetică îmbunătățită</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SSD-ul Samsung 990 oferă performanțe robuste, cu o viteză de citire secvențială de până la 7.250 MB/s și o eficiență energetică îmbunătățită cu 38% față de predecesorul său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Variantele de 1 TB și 2 TB extind opțiunile de upgrade al computerului pentru consumatori, acoperind de la utilizarea de zi cu zi, până la gaming și crearea de conținut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 Electronics a anunțat astăzi lansarea noului său SSD 990, disponibil în capacități de 1 terabyte (TB) și 2 TB. Oferind performanțe secvențiale excepționale și o eficiență energetică îmbunătățită, SSD-ul Samsung 990 este conceput ca o soluție de stocare echilibrată, optimizată pentru gaming, sarcini creative și utilizarea zilnică a computerului.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„Noul SSD 990 de la Samsung este o soluție excelentă pentru o gamă largă de utilizatori care doresc să-și extindă spațiul de stocare pentru sarcini de lucru complexe, gaming imersiv, creare de conținut la rezoluție înaltă și asamblarea propriilor computere”, a declarat Tommy (Hyoungsuk) Kwon, vicepreședintele echipei Memory Brand Product Biz în cadrul Samsung Electronics.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Datorită suportului PCIe 4.0 și celor mai recente tehnologii NAND, modelul de 2 TB al SSD-ului Samsung 990 oferă o viteză de citire secvențială de până la 7.250 megabyți pe secundă (MB/s), în timp ce modelul de 1 TB atinge până la 7.150 MB/s. Ambele modele asigură viteze de scriere secvențială de până la 6.450 MB/s, facilitând transferuri rapide de fișiere și timpi de încărcare reduși.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În ceea ce privește performanța aleatorie, modelul de 2 TB oferă până la 850K IOPS la citire și 1.200K IOPS la scriere, în timp ce modelul de 1 TB atinge viteze de citire și scriere de până la 700K, respectiv 1.100K IOPS. Aceste capacități îi ajută pe utilizatori să se bucure de lansări mai rapide ale aplicațiilor, un gameplay fluid și o gestionare eficientă a sarcinilor de lucru de mari dimensiuni.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Capacitatea de stocare extinsă le permite, de asemenea, utilizatorilor să salveze volume mari de conținut de înaltă calitate și cele mai recente jocuri AAA. Modelul de 2 TB poate stoca până la 30 de jocuri de mari dimensiuni, calculat la o dimensiune medie de 64 GB per joc</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devenind o soluție ideală pentru gamerii și creatorii care gestionează fișiere și aplicații din ce în ce mai voluminoase.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SSD-ul Samsung 990 a obținut, de asemenea, îmbunătățiri semnificative în ceea ce privește eficiența energetică. Comparativ cu modelul său anterior, 990 PRO, eficiența energetică a fost îmbunătățită cu până la 38%</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permițând utilizatorilor să obțină performanțe ridicate cu un consum mai mic de energie.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Software-ul Samsung Magician contribuie la asigurarea faptului că SSD-urile – inclusiv Samsung 990 – își mențin performanța optimă. Acesta sprijină migrarea fluidă a datelor și monitorizarea stării de sănătate a unității de stocare, permițând utilizatorilor să beneficieze de o optimizare personalizată a performanței și de o protecție robustă a datelor.</w:t>
      </w:r>
    </w:p>
    <w:tbl>
      <w:tblPr>
        <w:tblStyle w:val="Table1"/>
        <w:tblpPr w:leftFromText="142" w:rightFromText="142" w:topFromText="0" w:bottomFromText="0" w:vertAnchor="text" w:horzAnchor="text" w:tblpX="0" w:tblpY="824"/>
        <w:tblW w:w="9025.0" w:type="dxa"/>
        <w:jc w:val="left"/>
        <w:tblLayout w:type="fixed"/>
        <w:tblLook w:val="0400"/>
      </w:tblPr>
      <w:tblGrid>
        <w:gridCol w:w="1598"/>
        <w:gridCol w:w="3713"/>
        <w:gridCol w:w="3714"/>
        <w:tblGridChange w:id="0">
          <w:tblGrid>
            <w:gridCol w:w="1598"/>
            <w:gridCol w:w="3713"/>
            <w:gridCol w:w="3714"/>
          </w:tblGrid>
        </w:tblGridChange>
      </w:tblGrid>
      <w:tr>
        <w:trPr>
          <w:cantSplit w:val="0"/>
          <w:trHeight w:val="732"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SSD Samsung 990 </w:t>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Interfață</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PCIe® 4.0 x4 NVMe™ 2.0</w:t>
            </w:r>
            <w:r w:rsidDel="00000000" w:rsidR="00000000" w:rsidRPr="00000000">
              <w:rPr>
                <w:rFonts w:ascii="Arial" w:cs="Arial" w:eastAsia="Arial" w:hAnsi="Arial"/>
                <w:color w:val="000000"/>
                <w:vertAlign w:val="superscript"/>
              </w:rPr>
              <w:footnoteReference w:customMarkFollows="0" w:id="2"/>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Format</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M.2 (2280)</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Memorie de stocare</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8">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Samsung V-NAND</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Controler</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Controler intern Samsung</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Capacitate</w:t>
            </w:r>
            <w:r w:rsidDel="00000000" w:rsidR="00000000" w:rsidRPr="00000000">
              <w:rPr>
                <w:rFonts w:ascii="Arial" w:cs="Arial" w:eastAsia="Arial" w:hAnsi="Arial"/>
                <w:color w:val="000000"/>
                <w:vertAlign w:val="superscript"/>
              </w:rPr>
              <w:footnoteReference w:customMarkFollows="0" w:id="3"/>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 TB</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F">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 TB</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Viteză de citire/scriere secvențială</w:t>
            </w:r>
            <w:r w:rsidDel="00000000" w:rsidR="00000000" w:rsidRPr="00000000">
              <w:rPr>
                <w:rFonts w:ascii="Malgun Gothic" w:cs="Malgun Gothic" w:eastAsia="Malgun Gothic" w:hAnsi="Malgun Gothic"/>
                <w:color w:val="000000"/>
                <w:sz w:val="22"/>
                <w:szCs w:val="22"/>
                <w:vertAlign w:val="superscript"/>
              </w:rPr>
              <w:footnoteReference w:customMarkFollows="0" w:id="4"/>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1">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Până la 7.150 MB/s, până la 6.450 MB/s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Până la 7.250 MB/s, până la 6.450 MB/s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1"/>
              <w:spacing w:after="0" w:line="240" w:lineRule="auto"/>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Viteză de citire/scriere aleatorie (QD32)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4">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Până la 700K IOPS, 1.100K IOPS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Până la 850K IOPS, 1.200K IOPS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Software de administrare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7">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Software-ul Samsung Magician</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widowControl w:val="1"/>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Criptarea datelor</w:t>
            </w:r>
          </w:p>
          <w:p w:rsidR="00000000" w:rsidDel="00000000" w:rsidP="00000000" w:rsidRDefault="00000000" w:rsidRPr="00000000" w14:paraId="0000002A">
            <w:pPr>
              <w:widowControl w:val="1"/>
              <w:spacing w:after="0" w:line="240" w:lineRule="auto"/>
              <w:jc w:val="center"/>
              <w:rPr>
                <w:rFonts w:ascii="Arial" w:cs="Arial" w:eastAsia="Arial" w:hAnsi="Arial"/>
                <w:color w:val="00000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Criptare completă de disc AES 256-bit, TCG/Opal V2.0, unitate criptată (IEEE1667)</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widowControl w:val="1"/>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Număr total de byți scriși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400 TB</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F">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800 TB</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Garanție</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1">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Garanție limitată de trei ani</w:t>
            </w:r>
            <w:r w:rsidDel="00000000" w:rsidR="00000000" w:rsidRPr="00000000">
              <w:rPr>
                <w:rFonts w:ascii="Arial" w:cs="Arial" w:eastAsia="Arial" w:hAnsi="Arial"/>
                <w:color w:val="000000"/>
                <w:vertAlign w:val="superscript"/>
              </w:rPr>
              <w:footnoteReference w:customMarkFollows="0" w:id="5"/>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360" w:lineRule="auto"/>
        <w:ind w:left="0" w:right="0" w:firstLine="0"/>
        <w:jc w:val="left"/>
        <w:rPr>
          <w:rFonts w:ascii="Gulim" w:cs="Gulim" w:eastAsia="Gulim" w:hAnsi="Gulim"/>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0"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 w:name="Guli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after="0" w:line="276" w:lineRule="auto"/>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Pe baza unei dimensiuni medii a jocurilor de 64,3 GB – calculată folosind primele 12 titluri din lista Steam „Cele mai bune din 2025: Lansări noi”</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br w:type="textWrapping"/>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https://store.steampowered.com/charts/bestofyear/2025</w:t>
      </w:r>
    </w:p>
  </w:footnote>
  <w:footnote w:id="1">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Citire/scriere secvențială pentru SSD 990: 1.686/1.697 MB/s per watt, citire/scriere secvențială pentru 990 PRO: 1.221/1.255 MB/s per watt, pe baza rezultatelor testelor interne efectuate pe modelul cu capacitate de 2 TB.</w:t>
      </w:r>
    </w:p>
  </w:footnote>
  <w:footnote w:id="2">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NVM Express</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superscript"/>
          <w:rtl w:val="0"/>
        </w:rPr>
        <w:t xml:space="preserve">®</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este o marcă înregistrată a NVM Express Inc.</w:t>
      </w:r>
    </w:p>
  </w:footnote>
  <w:footnote w:id="3">
    <w:p w:rsidR="00000000" w:rsidDel="00000000" w:rsidP="00000000" w:rsidRDefault="00000000" w:rsidRPr="00000000" w14:paraId="00000037">
      <w:pPr>
        <w:spacing w:after="0" w:line="240" w:lineRule="auto"/>
        <w:jc w:val="left"/>
        <w:rPr>
          <w:i w:val="1"/>
          <w:iCs w:val="1"/>
          <w:sz w:val="14"/>
          <w:szCs w:val="14"/>
        </w:rPr>
      </w:pPr>
      <w:r w:rsidDel="00000000" w:rsidR="00000000" w:rsidRPr="00000000">
        <w:rPr>
          <w:rStyle w:val="FootnoteReference"/>
          <w:vertAlign w:val="superscript"/>
        </w:rPr>
        <w:footnoteRef/>
      </w:r>
      <w:r w:rsidDel="00000000" w:rsidR="00000000" w:rsidRPr="00000000">
        <w:rPr>
          <w:vertAlign w:val="superscript"/>
          <w:rtl w:val="0"/>
        </w:rPr>
        <w:t xml:space="preserve"> </w:t>
      </w:r>
      <w:r w:rsidDel="00000000" w:rsidR="00000000" w:rsidRPr="00000000">
        <w:rPr>
          <w:i w:val="1"/>
          <w:iCs w:val="1"/>
          <w:sz w:val="14"/>
          <w:szCs w:val="14"/>
          <w:rtl w:val="0"/>
        </w:rPr>
        <w:t xml:space="preserve">1 GB = 1.000.000.000 byți IDEMA. O parte a capacității poate fi folosită pentru fișiere de sistem și întreținere. Astfel, capacitatea reală disponibilă ar putea fi diferită de capacitatea marcată.</w:t>
      </w:r>
    </w:p>
  </w:footnote>
  <w:footnote w:id="4">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gun Gothic" w:cs="Malgun Gothic" w:eastAsia="Malgun Gothic" w:hAnsi="Malgun Gothic"/>
          <w:b w:val="0"/>
          <w:bCs w:val="0"/>
          <w:i w:val="1"/>
          <w:iCs w:val="1"/>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superscript"/>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Performanța secvențială și cea aleatorie se bazează pe 1Ometer1.1.0. Performanța poate varia în funcție de versiunea de firmware a SSD-ului, de hardware-ul și de configurațiile sistemului. Sistem de testare: Procesor AMD Ryzen 9 7650X cu 16 nuclee </w:t>
      </w:r>
      <w:hyperlink r:id="rId1">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CPU@4,50 GHz</w:t>
        </w:r>
      </w:hyperlink>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 DDR5 4800 MHz (16 GBx2), sistem de operare Windows 11 Pro 64 biți, Chipset-ASRock-X670E-Taichi. Performanța de scriere secvențială și aleatorie a fost măsurată cu tehnologia Intelligent TurboWrite activată. Intelligent TurboWrite funcționează doar în limitele unei anumite dimensiuni de transfer de date. Pentru informații detaliate, vă rugăm să contactați centrul local de service.</w:t>
      </w:r>
    </w:p>
  </w:footnote>
  <w:footnote w:id="5">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superscript"/>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Samsung Electronics nu va fi răspunzătoare pentru nicio pierdere, inclusiv, dar fără a se limita la pierderea de date sau alte informații scrise pe produsele Samsung sau pentru pierderea profitului sau veniturilor care pot fi suportate de utilizator. Garanția oferă acoperire pentru durata declarată sau pentru numărul total de byți scriși, oricare dintre acestea survine mai întâi. Certificatul de garanție detaliat poate fi consultat la http://www.samsung.com/samsungssd</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ro"/>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CPU@4.50GH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06iOzaC/ecdHKCUjTgBVljcmg==">CgMxLjA4AHIhMVpTTm1RVV9iSFNWdFpwM0FucFVjc04yNVJZbHhQSnlE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D7DEB29188C48BD3CC139FFD574C30B2E0F04392C612D786E6921BC9FE9991D46818796EB07D17FE1C1A89E034F00521D1C8A346EBD385D461EE6932FF65A226</vt:lpwstr>
  </property>
</Properties>
</file>