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wp:posOffset>
                </wp:positionH>
                <wp:positionV relativeFrom="paragraph">
                  <wp:posOffset>-8182</wp:posOffset>
                </wp:positionV>
                <wp:extent cx="6082574" cy="668307"/>
                <wp:effectExtent b="0" l="0" r="0" t="0"/>
                <wp:wrapNone/>
                <wp:docPr id="1" name=""/>
                <a:graphic>
                  <a:graphicData uri="http://schemas.microsoft.com/office/word/2010/wordprocessingShape">
                    <wps:wsp>
                      <wps:cNvSpPr/>
                      <wps:cNvPr id="2" name="Shape 2"/>
                      <wps:spPr>
                        <a:xfrm>
                          <a:off x="2311063" y="3452197"/>
                          <a:ext cx="6069874" cy="655607"/>
                        </a:xfrm>
                        <a:prstGeom prst="rect">
                          <a:avLst/>
                        </a:prstGeom>
                        <a:noFill/>
                        <a:ln cap="flat" cmpd="sng" w="12700">
                          <a:solidFill>
                            <a:srgbClr val="FF0000"/>
                          </a:solidFill>
                          <a:prstDash val="solid"/>
                          <a:miter lim="8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ff0000"/>
                                <w:sz w:val="22"/>
                                <w:vertAlign w:val="baseline"/>
                              </w:rPr>
                              <w:t xml:space="preserve">Smjernice za Samsungove PR predstavnike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0000"/>
                                <w:sz w:val="22"/>
                                <w:u w:val="single"/>
                                <w:vertAlign w:val="baseline"/>
                              </w:rPr>
                            </w:r>
                            <w:r w:rsidDel="00000000" w:rsidR="00000000" w:rsidRPr="00000000">
                              <w:rPr>
                                <w:rFonts w:ascii="Arial" w:cs="Arial" w:eastAsia="Arial" w:hAnsi="Arial"/>
                                <w:b w:val="0"/>
                                <w:i w:val="0"/>
                                <w:smallCaps w:val="0"/>
                                <w:strike w:val="0"/>
                                <w:color w:val="ff0000"/>
                                <w:sz w:val="16"/>
                                <w:vertAlign w:val="baseline"/>
                              </w:rPr>
                              <w:t xml:space="preserve">Molimo da se obratite odabranim tehnološkim medijima na temelju informacija u nastavku. Napominjemo da nećemo slati priopćenje za medije putem servisa vijesti ili newsroom servisa. Embargo je na snazi do ▲14. srpnja u 9:00 PDT ▲14. srpnja u 18:00 CET ▲14. srpnja u 1:00 KST.</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-6349</wp:posOffset>
                </wp:positionH>
                <wp:positionV relativeFrom="paragraph">
                  <wp:posOffset>-8182</wp:posOffset>
                </wp:positionV>
                <wp:extent cx="6082574" cy="668307"/>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082574" cy="668307"/>
                        </a:xfrm>
                        <a:prstGeom prst="rect"/>
                        <a:ln/>
                      </pic:spPr>
                    </pic:pic>
                  </a:graphicData>
                </a:graphic>
              </wp:anchor>
            </w:drawing>
          </mc:Fallback>
        </mc:AlternateConten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1"/>
          <w:bCs w:val="1"/>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Pr>
        <w:drawing>
          <wp:inline distB="0" distT="0" distL="0" distR="0">
            <wp:extent cx="1381916" cy="214197"/>
            <wp:effectExtent b="0" l="0" r="0" t="0"/>
            <wp:docPr descr="Plavo slovo na crnoj pozadini &#10;&#10;Opis je automatski generiran" id="2" name="image1.png"/>
            <a:graphic>
              <a:graphicData uri="http://schemas.openxmlformats.org/drawingml/2006/picture">
                <pic:pic>
                  <pic:nvPicPr>
                    <pic:cNvPr descr="Plavo slovo na crnoj pozadini &#10;&#10;Opis je automatski generiran" id="0" name="image1.png"/>
                    <pic:cNvPicPr preferRelativeResize="0"/>
                  </pic:nvPicPr>
                  <pic:blipFill>
                    <a:blip r:embed="rId9"/>
                    <a:srcRect b="0" l="0" r="0" t="0"/>
                    <a:stretch>
                      <a:fillRect/>
                    </a:stretch>
                  </pic:blipFill>
                  <pic:spPr>
                    <a:xfrm>
                      <a:off x="0" y="0"/>
                      <a:ext cx="1381916" cy="214197"/>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Samsung predstavlja novi 990 SSD s moćnim performansama i poboljšanom energetskom učinkovitošću.</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Samsung 990 SSD donosi vrhunske performanse uz sekvencijalnu brzinu čitanja do 7250 MB/s i 38% bolju energetsku učinkovitost u odnosu na svog prethodnika.</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Modeli kapaciteta 1 TB i 2 TB proširuju mogućnost nadogradnje računala za korisnike s različitim potrebama - od svakodnevne uporabe do igranja videoigara i stvaranja sadržaja.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Samsung Electronics danas je predstavio novi 990 SSD, dostupan u kapacitetima od 1 TB i 2 TB. Uz iznimne sekvencijalne performanse i poboljšanu energetsku učinkovitost, Samsung 990 SSD osmišljen je kao uravnoteženo rješenje za pohranu podataka, optimizirano za igranje videoigara, kreativni rad i svakodnevnu uporabu računala.</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"Samsungov novi 990 SSD izvrsno je rješenje za širok raspon korisnika koji žele proširiti kapacitet pohrane za zahtjevne radne zadatke, vrhunsko iskustvo igranja videoigara, stvaranje sadržaja u visokoj rezoluciji i samostalnu izradu osobnih računala", izjavio je Tommy (Hyoungsuk) Kwon, potpredsjednik tima za poslovanje brendiranih memorijskih proizvoda u Samsungu Electronicsu.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Zahvaljujući podršci za PCIe 4.0 i najnovijim NAND tehnologijama, model Samsung 990 SSD od 2 TB ostvaruje sekvencijalnu brzinu čitanja do 7250 megabajta u sekundi (MB/s), dok model od 1 TB doseže do 7150 MB/s. Oba modela nude sekvencijalne brzine pisanja do 6450 MB/s, što omogućava brzi prijenos podataka i kraće vrijeme učitavanja.</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Što se tiče nasumičnih performansi, model od 2 TB postiže do 850 000 IOPS-a pri čitanju i 1,2 milijuna IOPS-a pri pisanju, dok model od 1 TB doseže do 700 000 IOPS-a pri čitanju i 1,1 milijuna IOPS-a pri pisanju. Ove mogućnosti korisnicima omogućuju brže pokretanje aplikacija, responzivnije igranje videoigara i učinkovito upravljanje velikim radnim opterećenjima.</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Prošireni kapacitet pohrane također omogućuje korisnicima pohranu velikih količina visokokvalitetnog sadržaja i najnovijih AAA igara. Model od 2 TB može pohraniti do 30 igara velikih razmjera, uz prosječnu veličinu od 64 GB</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Pr>
        <w:footnoteReference w:customMarkFollows="0" w:id="0"/>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što ga čini idealnim rješenjem za gamere i kreatore koji upravljaju sve većim datotekama i aplikacijama.</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Samsung 990 SSD također donosi značajna poboljšanja u pogledu energetske učinkovitosti. U usporedbi s prethodnim 990 PRO modelom, energetska učinkovitost poboljšana je za čak 38%</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Pr>
        <w:footnoteReference w:customMarkFollows="0" w:id="1"/>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što korisnicima omogućuje postizanje visokih performansi uz manju potrošnju energije.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Softver Samsung Magician pomaže osigurati da SSD-ovi, uključujući i Samsung 990, održavaju optimalne performanse. Podržava besprijekorni prijenos podataka i nadzor stanja pogona, omogućujući korisnicima prilagođenu optimizaciju performansi i snažnu zaštitu podataka.</w:t>
      </w:r>
    </w:p>
    <w:tbl>
      <w:tblPr>
        <w:tblStyle w:val="Table1"/>
        <w:tblpPr w:leftFromText="142" w:rightFromText="142" w:topFromText="0" w:bottomFromText="0" w:vertAnchor="text" w:horzAnchor="text" w:tblpX="0" w:tblpY="824"/>
        <w:tblW w:w="9115.0" w:type="dxa"/>
        <w:jc w:val="left"/>
        <w:tblLayout w:type="fixed"/>
        <w:tblLook w:val="0400"/>
      </w:tblPr>
      <w:tblGrid>
        <w:gridCol w:w="1688"/>
        <w:gridCol w:w="3713"/>
        <w:gridCol w:w="3714"/>
        <w:tblGridChange w:id="0">
          <w:tblGrid>
            <w:gridCol w:w="1688"/>
            <w:gridCol w:w="3713"/>
            <w:gridCol w:w="3714"/>
          </w:tblGrid>
        </w:tblGridChange>
      </w:tblGrid>
      <w:tr>
        <w:trPr>
          <w:cantSplit w:val="0"/>
          <w:trHeight w:val="732"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Samsung 990 SSD </w:t>
            </w:r>
            <w:r w:rsidDel="00000000" w:rsidR="00000000" w:rsidRPr="00000000">
              <w:rPr>
                <w:rtl w:val="0"/>
              </w:rPr>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widowControl w:val="1"/>
              <w:spacing w:after="0" w:line="240" w:lineRule="auto"/>
              <w:jc w:val="center"/>
              <w:rPr>
                <w:rFonts w:ascii="Arial" w:cs="Arial" w:eastAsia="Arial" w:hAnsi="Arial"/>
                <w:color w:val="000000"/>
              </w:rPr>
            </w:pPr>
            <w:r w:rsidDel="00000000" w:rsidR="00000000" w:rsidRPr="00000000">
              <w:rPr>
                <w:rFonts w:ascii="Malgun Gothic" w:cs="Malgun Gothic" w:eastAsia="Malgun Gothic" w:hAnsi="Malgun Gothic"/>
                <w:color w:val="000000"/>
                <w:sz w:val="22"/>
                <w:szCs w:val="22"/>
                <w:rtl w:val="0"/>
              </w:rPr>
              <w:t xml:space="preserve">Sučelje</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2">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PCIe® 4.0 x4 NVMe™ 2.0</w:t>
            </w:r>
            <w:r w:rsidDel="00000000" w:rsidR="00000000" w:rsidRPr="00000000">
              <w:rPr>
                <w:rFonts w:ascii="Arial" w:cs="Arial" w:eastAsia="Arial" w:hAnsi="Arial"/>
                <w:color w:val="000000"/>
                <w:vertAlign w:val="superscript"/>
              </w:rPr>
              <w:footnoteReference w:customMarkFollows="0" w:id="2"/>
            </w:r>
            <w:r w:rsidDel="00000000" w:rsidR="00000000" w:rsidRPr="00000000">
              <w:rPr>
                <w:rtl w:val="0"/>
              </w:rPr>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widowControl w:val="1"/>
              <w:spacing w:after="0" w:line="240" w:lineRule="auto"/>
              <w:jc w:val="center"/>
              <w:rPr>
                <w:rFonts w:ascii="Arial" w:cs="Arial" w:eastAsia="Arial" w:hAnsi="Arial"/>
                <w:color w:val="000000"/>
              </w:rPr>
            </w:pPr>
            <w:r w:rsidDel="00000000" w:rsidR="00000000" w:rsidRPr="00000000">
              <w:rPr>
                <w:rFonts w:ascii="Malgun Gothic" w:cs="Malgun Gothic" w:eastAsia="Malgun Gothic" w:hAnsi="Malgun Gothic"/>
                <w:color w:val="000000"/>
                <w:sz w:val="22"/>
                <w:szCs w:val="22"/>
                <w:rtl w:val="0"/>
              </w:rPr>
              <w:t xml:space="preserve">Faktor oblika</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5">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M.2 (2280)</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widowControl w:val="1"/>
              <w:spacing w:after="0" w:line="240" w:lineRule="auto"/>
              <w:jc w:val="center"/>
              <w:rPr>
                <w:rFonts w:ascii="Arial" w:cs="Arial" w:eastAsia="Arial" w:hAnsi="Arial"/>
                <w:color w:val="000000"/>
              </w:rPr>
            </w:pPr>
            <w:r w:rsidDel="00000000" w:rsidR="00000000" w:rsidRPr="00000000">
              <w:rPr>
                <w:rFonts w:ascii="Malgun Gothic" w:cs="Malgun Gothic" w:eastAsia="Malgun Gothic" w:hAnsi="Malgun Gothic"/>
                <w:color w:val="000000"/>
                <w:sz w:val="22"/>
                <w:szCs w:val="22"/>
                <w:rtl w:val="0"/>
              </w:rPr>
              <w:t xml:space="preserve">Memorija za pohranu</w:t>
            </w: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8">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Samsung V-NAND</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widowControl w:val="1"/>
              <w:spacing w:after="0" w:line="240" w:lineRule="auto"/>
              <w:jc w:val="center"/>
              <w:rPr>
                <w:rFonts w:ascii="Arial" w:cs="Arial" w:eastAsia="Arial" w:hAnsi="Arial"/>
                <w:color w:val="000000"/>
              </w:rPr>
            </w:pPr>
            <w:r w:rsidDel="00000000" w:rsidR="00000000" w:rsidRPr="00000000">
              <w:rPr>
                <w:rFonts w:ascii="Malgun Gothic" w:cs="Malgun Gothic" w:eastAsia="Malgun Gothic" w:hAnsi="Malgun Gothic"/>
                <w:color w:val="000000"/>
                <w:sz w:val="22"/>
                <w:szCs w:val="22"/>
                <w:rtl w:val="0"/>
              </w:rPr>
              <w:t xml:space="preserve">Kontroler</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B">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Samsungov vlastiti kontroler</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Kapacitet</w:t>
            </w:r>
            <w:r w:rsidDel="00000000" w:rsidR="00000000" w:rsidRPr="00000000">
              <w:rPr>
                <w:rFonts w:ascii="Arial" w:cs="Arial" w:eastAsia="Arial" w:hAnsi="Arial"/>
                <w:color w:val="000000"/>
                <w:vertAlign w:val="superscript"/>
              </w:rPr>
              <w:footnoteReference w:customMarkFollows="0" w:id="3"/>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E">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 TB</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F">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2 TB</w:t>
            </w:r>
          </w:p>
        </w:tc>
      </w:tr>
      <w:tr>
        <w:trPr>
          <w:cantSplit w:val="0"/>
          <w:trHeight w:val="72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widowControl w:val="1"/>
              <w:spacing w:after="0" w:line="240" w:lineRule="auto"/>
              <w:jc w:val="center"/>
              <w:rPr>
                <w:rFonts w:ascii="Arial" w:cs="Arial" w:eastAsia="Arial" w:hAnsi="Arial"/>
                <w:color w:val="000000"/>
              </w:rPr>
            </w:pPr>
            <w:r w:rsidDel="00000000" w:rsidR="00000000" w:rsidRPr="00000000">
              <w:rPr>
                <w:rFonts w:ascii="Malgun Gothic" w:cs="Malgun Gothic" w:eastAsia="Malgun Gothic" w:hAnsi="Malgun Gothic"/>
                <w:color w:val="000000"/>
                <w:sz w:val="22"/>
                <w:szCs w:val="22"/>
                <w:rtl w:val="0"/>
              </w:rPr>
              <w:t xml:space="preserve">Sekvencijalna brzina čitanja/pisanja</w:t>
            </w:r>
            <w:r w:rsidDel="00000000" w:rsidR="00000000" w:rsidRPr="00000000">
              <w:rPr>
                <w:rFonts w:ascii="Malgun Gothic" w:cs="Malgun Gothic" w:eastAsia="Malgun Gothic" w:hAnsi="Malgun Gothic"/>
                <w:color w:val="000000"/>
                <w:sz w:val="22"/>
                <w:szCs w:val="22"/>
                <w:vertAlign w:val="superscript"/>
              </w:rPr>
              <w:footnoteReference w:customMarkFollows="0" w:id="4"/>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1">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Do 7150 MB/s, 6450 MB/s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2">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Do 7250 MB/s, 6450 MB/s</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widowControl w:val="1"/>
              <w:spacing w:after="0" w:line="240" w:lineRule="auto"/>
              <w:jc w:val="center"/>
              <w:rPr>
                <w:rFonts w:ascii="Malgun Gothic" w:cs="Malgun Gothic" w:eastAsia="Malgun Gothic" w:hAnsi="Malgun Gothic"/>
                <w:color w:val="000000"/>
                <w:sz w:val="22"/>
                <w:szCs w:val="22"/>
              </w:rPr>
            </w:pPr>
            <w:r w:rsidDel="00000000" w:rsidR="00000000" w:rsidRPr="00000000">
              <w:rPr>
                <w:rFonts w:ascii="Malgun Gothic" w:cs="Malgun Gothic" w:eastAsia="Malgun Gothic" w:hAnsi="Malgun Gothic"/>
                <w:color w:val="000000"/>
                <w:sz w:val="22"/>
                <w:szCs w:val="22"/>
                <w:rtl w:val="0"/>
              </w:rPr>
              <w:t xml:space="preserve">Nasumična brzina/čitanja (QD32)</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4">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Do 700 000 IOPS-a, 1 100 000 IOPS-a</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5">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Do 850 000 IOPS-a, 1 200 000 IOPS-a</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widowControl w:val="1"/>
              <w:spacing w:after="0" w:line="240" w:lineRule="auto"/>
              <w:jc w:val="center"/>
              <w:rPr>
                <w:rFonts w:ascii="Arial" w:cs="Arial" w:eastAsia="Arial" w:hAnsi="Arial"/>
                <w:color w:val="000000"/>
              </w:rPr>
            </w:pPr>
            <w:r w:rsidDel="00000000" w:rsidR="00000000" w:rsidRPr="00000000">
              <w:rPr>
                <w:rFonts w:ascii="Malgun Gothic" w:cs="Malgun Gothic" w:eastAsia="Malgun Gothic" w:hAnsi="Malgun Gothic"/>
                <w:color w:val="000000"/>
                <w:sz w:val="22"/>
                <w:szCs w:val="22"/>
                <w:rtl w:val="0"/>
              </w:rPr>
              <w:t xml:space="preserve">Softver za upravljanje</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7">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Softver Samsung Magician</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widowControl w:val="1"/>
              <w:jc w:val="center"/>
              <w:rPr>
                <w:rFonts w:ascii="Malgun Gothic" w:cs="Malgun Gothic" w:eastAsia="Malgun Gothic" w:hAnsi="Malgun Gothic"/>
                <w:color w:val="000000"/>
                <w:sz w:val="22"/>
                <w:szCs w:val="22"/>
              </w:rPr>
            </w:pPr>
            <w:r w:rsidDel="00000000" w:rsidR="00000000" w:rsidRPr="00000000">
              <w:rPr>
                <w:rFonts w:ascii="Malgun Gothic" w:cs="Malgun Gothic" w:eastAsia="Malgun Gothic" w:hAnsi="Malgun Gothic"/>
                <w:color w:val="000000"/>
                <w:sz w:val="22"/>
                <w:szCs w:val="22"/>
                <w:rtl w:val="0"/>
              </w:rPr>
              <w:t xml:space="preserve">Enkripcija podataka</w:t>
            </w:r>
          </w:p>
          <w:p w:rsidR="00000000" w:rsidDel="00000000" w:rsidP="00000000" w:rsidRDefault="00000000" w:rsidRPr="00000000" w14:paraId="0000002A">
            <w:pPr>
              <w:widowControl w:val="1"/>
              <w:spacing w:after="0" w:line="240" w:lineRule="auto"/>
              <w:jc w:val="center"/>
              <w:rPr>
                <w:rFonts w:ascii="Arial" w:cs="Arial" w:eastAsia="Arial" w:hAnsi="Arial"/>
                <w:color w:val="000000"/>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B">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AES 256-bitna potpuna enkripcija diska, TCG/Opal V2.0, šifrirani pogon (IEEE1667)-</w:t>
            </w:r>
          </w:p>
        </w:tc>
      </w:tr>
      <w:tr>
        <w:trPr>
          <w:cantSplit w:val="0"/>
          <w:trHeight w:val="72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widowControl w:val="1"/>
              <w:jc w:val="center"/>
              <w:rPr>
                <w:rFonts w:ascii="Malgun Gothic" w:cs="Malgun Gothic" w:eastAsia="Malgun Gothic" w:hAnsi="Malgun Gothic"/>
                <w:color w:val="000000"/>
                <w:sz w:val="22"/>
                <w:szCs w:val="22"/>
              </w:rPr>
            </w:pPr>
            <w:r w:rsidDel="00000000" w:rsidR="00000000" w:rsidRPr="00000000">
              <w:rPr>
                <w:rFonts w:ascii="Malgun Gothic" w:cs="Malgun Gothic" w:eastAsia="Malgun Gothic" w:hAnsi="Malgun Gothic"/>
                <w:color w:val="000000"/>
                <w:sz w:val="22"/>
                <w:szCs w:val="22"/>
                <w:rtl w:val="0"/>
              </w:rPr>
              <w:t xml:space="preserve">Ukupan broj zapisanih bajtova</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E">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400 TB</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F">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800 TB</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Jamstvo</w:t>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31">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Trogodišnje ograničeno jamstvo</w:t>
            </w:r>
            <w:r w:rsidDel="00000000" w:rsidR="00000000" w:rsidRPr="00000000">
              <w:rPr>
                <w:rFonts w:ascii="Arial" w:cs="Arial" w:eastAsia="Arial" w:hAnsi="Arial"/>
                <w:color w:val="000000"/>
                <w:vertAlign w:val="superscript"/>
              </w:rPr>
              <w:footnoteReference w:customMarkFollows="0" w:id="5"/>
            </w:r>
            <w:r w:rsidDel="00000000" w:rsidR="00000000" w:rsidRPr="00000000">
              <w:rPr>
                <w:rtl w:val="0"/>
              </w:rPr>
            </w:r>
          </w:p>
        </w:tc>
      </w:tr>
    </w:tbl>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360" w:lineRule="auto"/>
        <w:ind w:left="0" w:right="0" w:firstLine="0"/>
        <w:jc w:val="left"/>
        <w:rPr>
          <w:rFonts w:ascii="Gulim" w:cs="Gulim" w:eastAsia="Gulim" w:hAnsi="Gulim"/>
          <w:b w:val="0"/>
          <w:bCs w:val="0"/>
          <w:i w:val="0"/>
          <w:iCs w:val="0"/>
          <w:smallCaps w:val="0"/>
          <w:strike w:val="0"/>
          <w:color w:val="000000"/>
          <w:sz w:val="24"/>
          <w:szCs w:val="24"/>
          <w:u w:val="none"/>
          <w:shd w:fill="auto" w:val="clear"/>
          <w:vertAlign w:val="baseline"/>
        </w:rPr>
      </w:pPr>
      <w:r w:rsidDel="00000000" w:rsidR="00000000" w:rsidRPr="00000000">
        <w:rPr>
          <w:rtl w:val="0"/>
        </w:rPr>
      </w:r>
    </w:p>
    <w:sectPr>
      <w:footerReference r:id="rId10" w:type="default"/>
      <w:pgSz w:h="16838" w:w="11906" w:orient="portrait"/>
      <w:pgMar w:bottom="1440" w:top="1701" w:left="1440" w:right="144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algun Gothic"/>
  <w:font w:name="Georgia"/>
  <w:font w:name="Arial"/>
  <w:font w:name="Gulim"/>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spacing w:after="0" w:line="276" w:lineRule="auto"/>
      <w:jc w:val="left"/>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Malgun Gothic" w:cs="Malgun Gothic" w:eastAsia="Malgun Gothic" w:hAnsi="Malgun Gothic"/>
          <w:b w:val="0"/>
          <w:bCs w:val="0"/>
          <w:i w:val="1"/>
          <w:iCs w:val="1"/>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Malgun Gothic" w:cs="Malgun Gothic" w:eastAsia="Malgun Gothic" w:hAnsi="Malgun Gothic"/>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Na temelju prosječne veličine igre od 64,3 GB - izračunato na temelju 12 najpopularnijih naslova s liste "Best of 2025:  New Releases" na Steamu.</w:t>
      </w:r>
      <w:r w:rsidDel="00000000" w:rsidR="00000000" w:rsidRPr="00000000">
        <w:rPr>
          <w:rFonts w:ascii="Malgun Gothic" w:cs="Malgun Gothic" w:eastAsia="Malgun Gothic" w:hAnsi="Malgun Gothic"/>
          <w:b w:val="0"/>
          <w:bCs w:val="0"/>
          <w:i w:val="0"/>
          <w:iCs w:val="0"/>
          <w:smallCaps w:val="0"/>
          <w:strike w:val="0"/>
          <w:color w:val="000000"/>
          <w:sz w:val="14"/>
          <w:szCs w:val="14"/>
          <w:u w:val="none"/>
          <w:shd w:fill="auto" w:val="clear"/>
          <w:vertAlign w:val="baseline"/>
          <w:rtl w:val="0"/>
        </w:rPr>
        <w:br w:type="textWrapping"/>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https://store.steampowered.com/charts/bestofyear/2025</w:t>
      </w:r>
    </w:p>
  </w:footnote>
  <w:footnote w:id="1">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Malgun Gothic" w:cs="Malgun Gothic" w:eastAsia="Malgun Gothic" w:hAnsi="Malgun Gothic"/>
          <w:b w:val="0"/>
          <w:bCs w:val="0"/>
          <w:i w:val="1"/>
          <w:iCs w:val="1"/>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Malgun Gothic" w:cs="Malgun Gothic" w:eastAsia="Malgun Gothic" w:hAnsi="Malgun Gothic"/>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Prema rezultatima internog testiranja modela kapaciteta 2 TB, SSD 990 postiže sekvencijalne brzine čitanja i pisanja od 1686 odnosno 1697 MB/s po vatu, dok model 990 PRO ostvaruje 1221 odnosno 1255 MB/s po vatu.</w:t>
      </w:r>
    </w:p>
  </w:footnote>
  <w:footnote w:id="2">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Malgun Gothic" w:cs="Malgun Gothic" w:eastAsia="Malgun Gothic" w:hAnsi="Malgun Gothic"/>
          <w:b w:val="0"/>
          <w:bCs w:val="0"/>
          <w:i w:val="1"/>
          <w:iCs w:val="1"/>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Malgun Gothic" w:cs="Malgun Gothic" w:eastAsia="Malgun Gothic" w:hAnsi="Malgun Gothic"/>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Oznaka dizajna NVM Express® registrirani je zaštitni znak tvrtke NVM Express, Inc.</w:t>
      </w:r>
    </w:p>
  </w:footnote>
  <w:footnote w:id="3">
    <w:p w:rsidR="00000000" w:rsidDel="00000000" w:rsidP="00000000" w:rsidRDefault="00000000" w:rsidRPr="00000000" w14:paraId="00000037">
      <w:pPr>
        <w:spacing w:after="0" w:line="240" w:lineRule="auto"/>
        <w:jc w:val="left"/>
        <w:rPr>
          <w:i w:val="1"/>
          <w:iCs w:val="1"/>
          <w:sz w:val="14"/>
          <w:szCs w:val="14"/>
        </w:rPr>
      </w:pPr>
      <w:r w:rsidDel="00000000" w:rsidR="00000000" w:rsidRPr="00000000">
        <w:rPr>
          <w:rStyle w:val="FootnoteReference"/>
          <w:vertAlign w:val="superscript"/>
        </w:rPr>
        <w:footnoteRef/>
      </w:r>
      <w:r w:rsidDel="00000000" w:rsidR="00000000" w:rsidRPr="00000000">
        <w:rPr>
          <w:vertAlign w:val="superscript"/>
          <w:rtl w:val="0"/>
        </w:rPr>
        <w:t xml:space="preserve"> </w:t>
      </w:r>
      <w:r w:rsidDel="00000000" w:rsidR="00000000" w:rsidRPr="00000000">
        <w:rPr>
          <w:i w:val="1"/>
          <w:iCs w:val="1"/>
          <w:sz w:val="14"/>
          <w:szCs w:val="14"/>
          <w:rtl w:val="0"/>
        </w:rPr>
        <w:t xml:space="preserve">1GB = 1 milijarda bajta prema IDEMA standardu. </w:t>
      </w:r>
      <w:r w:rsidDel="00000000" w:rsidR="00000000" w:rsidRPr="00000000">
        <w:rPr>
          <w:sz w:val="14"/>
          <w:szCs w:val="14"/>
          <w:rtl w:val="0"/>
        </w:rPr>
        <w:t xml:space="preserve">Određeni dio kapaciteta može se koristiti za sistemske datoteke i potrebe održavanja, stoga se stvarni raspoloživi kapacitet može razlikovati od označenog.</w:t>
      </w:r>
      <w:r w:rsidDel="00000000" w:rsidR="00000000" w:rsidRPr="00000000">
        <w:rPr>
          <w:rtl w:val="0"/>
        </w:rPr>
      </w:r>
    </w:p>
  </w:footnote>
  <w:footnote w:id="4">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gun Gothic" w:cs="Malgun Gothic" w:eastAsia="Malgun Gothic" w:hAnsi="Malgun Gothic"/>
          <w:b w:val="0"/>
          <w:bCs w:val="0"/>
          <w:i w:val="1"/>
          <w:iCs w:val="1"/>
          <w:smallCaps w:val="0"/>
          <w:strike w:val="0"/>
          <w:color w:val="000000"/>
          <w:sz w:val="20"/>
          <w:szCs w:val="20"/>
          <w:u w:val="none"/>
          <w:shd w:fill="auto" w:val="clear"/>
          <w:vertAlign w:val="superscript"/>
        </w:rPr>
      </w:pPr>
      <w:r w:rsidDel="00000000" w:rsidR="00000000" w:rsidRPr="00000000">
        <w:rPr>
          <w:rStyle w:val="FootnoteReference"/>
          <w:vertAlign w:val="superscript"/>
        </w:rPr>
        <w:footnoteRef/>
      </w:r>
      <w:r w:rsidDel="00000000" w:rsidR="00000000" w:rsidRPr="00000000">
        <w:rPr>
          <w:rFonts w:ascii="Malgun Gothic" w:cs="Malgun Gothic" w:eastAsia="Malgun Gothic" w:hAnsi="Malgun Gothic"/>
          <w:b w:val="0"/>
          <w:bCs w:val="0"/>
          <w:i w:val="0"/>
          <w:iCs w:val="0"/>
          <w:smallCaps w:val="0"/>
          <w:strike w:val="0"/>
          <w:color w:val="000000"/>
          <w:sz w:val="20"/>
          <w:szCs w:val="20"/>
          <w:u w:val="none"/>
          <w:shd w:fill="auto" w:val="clear"/>
          <w:vertAlign w:val="superscript"/>
          <w:rtl w:val="0"/>
        </w:rPr>
        <w:t xml:space="preserve"> </w:t>
      </w:r>
      <w:r w:rsidDel="00000000" w:rsidR="00000000" w:rsidRPr="00000000">
        <w:rPr>
          <w:rFonts w:ascii="Malgun Gothic" w:cs="Malgun Gothic" w:eastAsia="Malgun Gothic" w:hAnsi="Malgun Gothic"/>
          <w:b w:val="0"/>
          <w:bCs w:val="0"/>
          <w:i w:val="1"/>
          <w:iCs w:val="1"/>
          <w:smallCaps w:val="0"/>
          <w:strike w:val="0"/>
          <w:color w:val="000000"/>
          <w:sz w:val="20"/>
          <w:szCs w:val="20"/>
          <w:u w:val="none"/>
          <w:shd w:fill="auto" w:val="clear"/>
          <w:vertAlign w:val="superscript"/>
          <w:rtl w:val="0"/>
        </w:rPr>
        <w:t xml:space="preserve">Sekvencijalne i nasumične performanse izmjerene su pomoću tehnologije 1Ometer1.1.0. Performanse mogu varirati ovisno o verziji firmvera SSD-a, hardveru sustava i njegovoj konfiguraciji. Testni sustav: AMD Ryzen 9 7650X 16-Core Processor </w:t>
      </w:r>
      <w:hyperlink r:id="rId1">
        <w:r w:rsidDel="00000000" w:rsidR="00000000" w:rsidRPr="00000000">
          <w:rPr>
            <w:rFonts w:ascii="Malgun Gothic" w:cs="Malgun Gothic" w:eastAsia="Malgun Gothic" w:hAnsi="Malgun Gothic"/>
            <w:b w:val="0"/>
            <w:bCs w:val="0"/>
            <w:i w:val="1"/>
            <w:iCs w:val="1"/>
            <w:smallCaps w:val="0"/>
            <w:strike w:val="0"/>
            <w:color w:val="000000"/>
            <w:sz w:val="20"/>
            <w:szCs w:val="20"/>
            <w:u w:val="none"/>
            <w:shd w:fill="auto" w:val="clear"/>
            <w:vertAlign w:val="superscript"/>
            <w:rtl w:val="0"/>
          </w:rPr>
          <w:t xml:space="preserve">CPU@4.50GHz</w:t>
        </w:r>
      </w:hyperlink>
      <w:r w:rsidDel="00000000" w:rsidR="00000000" w:rsidRPr="00000000">
        <w:rPr>
          <w:rFonts w:ascii="Malgun Gothic" w:cs="Malgun Gothic" w:eastAsia="Malgun Gothic" w:hAnsi="Malgun Gothic"/>
          <w:b w:val="0"/>
          <w:bCs w:val="0"/>
          <w:i w:val="1"/>
          <w:iCs w:val="1"/>
          <w:smallCaps w:val="0"/>
          <w:strike w:val="0"/>
          <w:color w:val="000000"/>
          <w:sz w:val="20"/>
          <w:szCs w:val="20"/>
          <w:u w:val="none"/>
          <w:shd w:fill="auto" w:val="clear"/>
          <w:vertAlign w:val="superscript"/>
          <w:rtl w:val="0"/>
        </w:rPr>
        <w:t xml:space="preserve">, DDR5 4800MHz (16GBx2), OS-Windows 11 Pro 64bit, Chipset-ASRock-X670E-Taichi. Sekvencijalne i nasumične performanse zapisivanja izmjerene su pomoću Intelligent TurboWrite tehnologije. Intelligent TurboWrite radi samo unutar određene veličine prijenosa podataka. Za više informacija obratite se lokalnom servisnom centru.</w:t>
      </w:r>
    </w:p>
  </w:footnote>
  <w:footnote w:id="5">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gun Gothic" w:cs="Malgun Gothic" w:eastAsia="Malgun Gothic" w:hAnsi="Malgun Gothic"/>
          <w:b w:val="0"/>
          <w:bCs w:val="0"/>
          <w:i w:val="1"/>
          <w:iCs w:val="1"/>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Malgun Gothic" w:cs="Malgun Gothic" w:eastAsia="Malgun Gothic" w:hAnsi="Malgun Gothic"/>
          <w:b w:val="0"/>
          <w:bCs w:val="0"/>
          <w:i w:val="0"/>
          <w:iCs w:val="0"/>
          <w:smallCaps w:val="0"/>
          <w:strike w:val="0"/>
          <w:color w:val="000000"/>
          <w:sz w:val="20"/>
          <w:szCs w:val="20"/>
          <w:u w:val="none"/>
          <w:shd w:fill="auto" w:val="clear"/>
          <w:vertAlign w:val="superscript"/>
          <w:rtl w:val="0"/>
        </w:rPr>
        <w:t xml:space="preserve"> </w:t>
      </w:r>
      <w:r w:rsidDel="00000000" w:rsidR="00000000" w:rsidRPr="00000000">
        <w:rPr>
          <w:rFonts w:ascii="Malgun Gothic" w:cs="Malgun Gothic" w:eastAsia="Malgun Gothic" w:hAnsi="Malgun Gothic"/>
          <w:b w:val="0"/>
          <w:bCs w:val="0"/>
          <w:i w:val="1"/>
          <w:iCs w:val="1"/>
          <w:smallCaps w:val="0"/>
          <w:strike w:val="0"/>
          <w:color w:val="000000"/>
          <w:sz w:val="20"/>
          <w:szCs w:val="20"/>
          <w:u w:val="none"/>
          <w:shd w:fill="auto" w:val="clear"/>
          <w:vertAlign w:val="superscript"/>
          <w:rtl w:val="0"/>
        </w:rPr>
        <w:t xml:space="preserve">Samsung Electronics ne odgovara za bilo kakav gubitak, uključujući, ali ne ograničavajući se na gubitak podataka ili drugih informacija pohranjenih na Samsungovim proizvodima, kao ni za gubitak dobiti ili prihoda koji korisnik može pretrpjeti. Jamstvo pokriva navedeno vremensko razdoblje ili TBW (ukupno zapisane bajtove), ovisno o tome što nastupi prvo. Za više detalja pročitajte Izjavu o jamstvu ovdje: http://www.samsung.com/samsungssd</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algun Gothic" w:cs="Malgun Gothic" w:eastAsia="Malgun Gothic" w:hAnsi="Malgun Gothic"/>
        <w:lang w:val="hr"/>
      </w:rPr>
    </w:rPrDefault>
    <w:pPrDefault>
      <w:pPr>
        <w:widowControl w:val="0"/>
        <w:spacing w:after="160" w:line="259"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mailto:CPU@4.50GH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S5XA3mrqZ/JPsmYfH8fqy9uiDA==">CgMxLjA4AHIhMUFYVE1aRUhUdzd5cDZNVnNKSXNXYndlSnEtVEdFYnFa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D7DEB29188C48BD3CC139FFD574C30B2E0F04392C612D786E6921BC9FE9991D46818796EB07D17FE1C1A89E034F00521D1C8A346EBD385D461EE6932FF65A226</vt:lpwstr>
  </property>
</Properties>
</file>