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9472" w14:textId="4EE9BD5B" w:rsidR="00367656" w:rsidRPr="00DE4DC5" w:rsidRDefault="00AD058B" w:rsidP="00DE4DC5">
      <w:pPr>
        <w:pStyle w:val="paragraph"/>
        <w:spacing w:before="0" w:beforeAutospacing="0" w:after="0" w:afterAutospacing="0"/>
        <w:jc w:val="center"/>
        <w:textAlignment w:val="baseline"/>
        <w:rPr>
          <w:rFonts w:ascii="Arial" w:eastAsiaTheme="majorEastAsia" w:hAnsi="Arial" w:cs="Arial"/>
          <w:b/>
          <w:bCs/>
          <w:sz w:val="28"/>
          <w:szCs w:val="28"/>
          <w:lang w:val="pt-PT"/>
        </w:rPr>
      </w:pPr>
      <w:r w:rsidRPr="00DE4DC5">
        <w:rPr>
          <w:rStyle w:val="normaltextrun"/>
          <w:rFonts w:ascii="Arial" w:eastAsiaTheme="majorEastAsia" w:hAnsi="Arial" w:cs="Arial"/>
          <w:b/>
          <w:bCs/>
          <w:sz w:val="28"/>
          <w:szCs w:val="28"/>
          <w:lang w:val="pt-PT"/>
        </w:rPr>
        <w:t xml:space="preserve">NTT DATA </w:t>
      </w:r>
      <w:proofErr w:type="spellStart"/>
      <w:r w:rsidRPr="00DE4DC5">
        <w:rPr>
          <w:rStyle w:val="normaltextrun"/>
          <w:rFonts w:ascii="Arial" w:eastAsiaTheme="majorEastAsia" w:hAnsi="Arial" w:cs="Arial"/>
          <w:b/>
          <w:bCs/>
          <w:sz w:val="28"/>
          <w:szCs w:val="28"/>
          <w:lang w:val="pt-PT"/>
        </w:rPr>
        <w:t>Insurtech</w:t>
      </w:r>
      <w:proofErr w:type="spellEnd"/>
      <w:r w:rsidRPr="00DE4DC5">
        <w:rPr>
          <w:rStyle w:val="normaltextrun"/>
          <w:rFonts w:ascii="Arial" w:eastAsiaTheme="majorEastAsia" w:hAnsi="Arial" w:cs="Arial"/>
          <w:b/>
          <w:bCs/>
          <w:sz w:val="28"/>
          <w:szCs w:val="28"/>
          <w:lang w:val="pt-PT"/>
        </w:rPr>
        <w:t xml:space="preserve"> Global Outlook 2026: </w:t>
      </w:r>
      <w:r w:rsidR="00CC57A9" w:rsidRPr="00DE4DC5">
        <w:rPr>
          <w:rFonts w:ascii="Arial" w:eastAsiaTheme="majorEastAsia" w:hAnsi="Arial" w:cs="Arial"/>
          <w:b/>
          <w:bCs/>
          <w:sz w:val="28"/>
          <w:szCs w:val="28"/>
          <w:lang w:val="pt-PT"/>
        </w:rPr>
        <w:t xml:space="preserve">setor segurador enfrenta </w:t>
      </w:r>
      <w:r w:rsidR="0029545C" w:rsidRPr="00DE4DC5">
        <w:rPr>
          <w:rFonts w:ascii="Arial" w:eastAsiaTheme="majorEastAsia" w:hAnsi="Arial" w:cs="Arial"/>
          <w:b/>
          <w:bCs/>
          <w:sz w:val="28"/>
          <w:szCs w:val="28"/>
          <w:lang w:val="pt-PT"/>
        </w:rPr>
        <w:t>momento decisivo</w:t>
      </w:r>
      <w:r w:rsidR="00377AA1" w:rsidRPr="00DE4DC5">
        <w:rPr>
          <w:rFonts w:ascii="Arial" w:eastAsiaTheme="minorEastAsia" w:hAnsi="Arial" w:cs="Arial"/>
          <w:kern w:val="2"/>
          <w:lang w:val="pt-PT" w:eastAsia="en-US"/>
          <w14:ligatures w14:val="standardContextual"/>
        </w:rPr>
        <w:t xml:space="preserve"> </w:t>
      </w:r>
      <w:r w:rsidR="00377AA1" w:rsidRPr="00DE4DC5">
        <w:rPr>
          <w:rFonts w:ascii="Arial" w:eastAsiaTheme="majorEastAsia" w:hAnsi="Arial" w:cs="Arial"/>
          <w:b/>
          <w:bCs/>
          <w:sz w:val="28"/>
          <w:szCs w:val="28"/>
          <w:lang w:val="pt-PT"/>
        </w:rPr>
        <w:t>perante riscos que ultrapassam a sua capacidade de resiliência</w:t>
      </w:r>
    </w:p>
    <w:p w14:paraId="6C113E6E" w14:textId="77777777" w:rsidR="00333DC0" w:rsidRPr="00DE4DC5" w:rsidRDefault="00333DC0" w:rsidP="00DE4DC5">
      <w:pPr>
        <w:pStyle w:val="paragraph"/>
        <w:spacing w:before="0" w:beforeAutospacing="0" w:after="0" w:afterAutospacing="0"/>
        <w:jc w:val="both"/>
        <w:textAlignment w:val="baseline"/>
        <w:rPr>
          <w:rStyle w:val="normaltextrun"/>
          <w:rFonts w:ascii="Arial" w:eastAsiaTheme="majorEastAsia" w:hAnsi="Arial" w:cs="Arial"/>
          <w:b/>
          <w:bCs/>
          <w:lang w:val="pt-PT"/>
        </w:rPr>
      </w:pPr>
    </w:p>
    <w:p w14:paraId="32F7291B" w14:textId="252740D6" w:rsidR="005A1326" w:rsidRPr="00E64CD6" w:rsidRDefault="005A1326" w:rsidP="00797F15">
      <w:pPr>
        <w:pStyle w:val="paragraph"/>
        <w:numPr>
          <w:ilvl w:val="0"/>
          <w:numId w:val="13"/>
        </w:numPr>
        <w:tabs>
          <w:tab w:val="left" w:pos="851"/>
        </w:tabs>
        <w:spacing w:before="0" w:beforeAutospacing="0" w:after="0" w:afterAutospacing="0"/>
        <w:ind w:left="567" w:hanging="141"/>
        <w:textAlignment w:val="baseline"/>
        <w:rPr>
          <w:rStyle w:val="normaltextrun"/>
          <w:rFonts w:ascii="Arial" w:eastAsiaTheme="majorEastAsia" w:hAnsi="Arial" w:cs="Arial"/>
          <w:b/>
          <w:bCs/>
          <w:sz w:val="20"/>
          <w:szCs w:val="20"/>
          <w:lang w:val="pt-PT"/>
        </w:rPr>
      </w:pPr>
      <w:r w:rsidRPr="00E64CD6">
        <w:rPr>
          <w:rStyle w:val="normaltextrun"/>
          <w:rFonts w:ascii="Arial" w:eastAsiaTheme="majorEastAsia" w:hAnsi="Arial" w:cs="Arial"/>
          <w:b/>
          <w:bCs/>
          <w:sz w:val="20"/>
          <w:szCs w:val="20"/>
          <w:lang w:val="pt-PT"/>
        </w:rPr>
        <w:t xml:space="preserve">A </w:t>
      </w:r>
      <w:proofErr w:type="spellStart"/>
      <w:r w:rsidRPr="00E64CD6">
        <w:rPr>
          <w:rStyle w:val="normaltextrun"/>
          <w:rFonts w:ascii="Arial" w:eastAsiaTheme="majorEastAsia" w:hAnsi="Arial" w:cs="Arial"/>
          <w:b/>
          <w:bCs/>
          <w:sz w:val="20"/>
          <w:szCs w:val="20"/>
          <w:lang w:val="pt-PT"/>
        </w:rPr>
        <w:t>ciberproteção</w:t>
      </w:r>
      <w:proofErr w:type="spellEnd"/>
      <w:r w:rsidRPr="00E64CD6">
        <w:rPr>
          <w:rStyle w:val="normaltextrun"/>
          <w:rFonts w:ascii="Arial" w:eastAsiaTheme="majorEastAsia" w:hAnsi="Arial" w:cs="Arial"/>
          <w:b/>
          <w:bCs/>
          <w:sz w:val="20"/>
          <w:szCs w:val="20"/>
          <w:lang w:val="pt-PT"/>
        </w:rPr>
        <w:t xml:space="preserve"> é atualmente a maior fonte de risco não segurado e deverá ultrapassar os 700 mil milhões de dólares até 2030.</w:t>
      </w:r>
    </w:p>
    <w:p w14:paraId="4EF0B72A" w14:textId="6DEF24AF" w:rsidR="005A1326" w:rsidRPr="00E64CD6" w:rsidRDefault="005A1326" w:rsidP="00797F15">
      <w:pPr>
        <w:pStyle w:val="paragraph"/>
        <w:numPr>
          <w:ilvl w:val="0"/>
          <w:numId w:val="13"/>
        </w:numPr>
        <w:tabs>
          <w:tab w:val="left" w:pos="851"/>
        </w:tabs>
        <w:spacing w:before="0" w:beforeAutospacing="0" w:after="0" w:afterAutospacing="0"/>
        <w:ind w:left="567" w:hanging="141"/>
        <w:textAlignment w:val="baseline"/>
        <w:rPr>
          <w:rStyle w:val="normaltextrun"/>
          <w:rFonts w:ascii="Arial" w:eastAsiaTheme="majorEastAsia" w:hAnsi="Arial" w:cs="Arial"/>
          <w:b/>
          <w:bCs/>
          <w:sz w:val="20"/>
          <w:szCs w:val="20"/>
          <w:lang w:val="pt-PT"/>
        </w:rPr>
      </w:pPr>
      <w:r w:rsidRPr="00E64CD6">
        <w:rPr>
          <w:rStyle w:val="normaltextrun"/>
          <w:rFonts w:ascii="Arial" w:eastAsiaTheme="majorEastAsia" w:hAnsi="Arial" w:cs="Arial"/>
          <w:b/>
          <w:bCs/>
          <w:sz w:val="20"/>
          <w:szCs w:val="20"/>
          <w:lang w:val="pt-PT"/>
        </w:rPr>
        <w:t>As ofertas públicas iniciais (IPO) de seguradoras nos Estados Unidos atingem o valor mais elevado dos últimos 20 anos, enquanto o financiamento por dívida supera o financiamento por capital próprio.</w:t>
      </w:r>
    </w:p>
    <w:p w14:paraId="2F398DC5" w14:textId="1BF78FC4" w:rsidR="00AD058B" w:rsidRPr="00E64CD6" w:rsidRDefault="005A1326" w:rsidP="00797F15">
      <w:pPr>
        <w:pStyle w:val="paragraph"/>
        <w:numPr>
          <w:ilvl w:val="0"/>
          <w:numId w:val="13"/>
        </w:numPr>
        <w:tabs>
          <w:tab w:val="left" w:pos="851"/>
        </w:tabs>
        <w:spacing w:before="0" w:beforeAutospacing="0" w:after="0" w:afterAutospacing="0"/>
        <w:ind w:left="567" w:hanging="141"/>
        <w:textAlignment w:val="baseline"/>
        <w:rPr>
          <w:rStyle w:val="normaltextrun"/>
          <w:rFonts w:ascii="Arial" w:eastAsiaTheme="majorEastAsia" w:hAnsi="Arial" w:cs="Arial"/>
          <w:b/>
          <w:bCs/>
          <w:sz w:val="20"/>
          <w:szCs w:val="20"/>
          <w:lang w:val="pt-PT"/>
        </w:rPr>
      </w:pPr>
      <w:r w:rsidRPr="00E64CD6">
        <w:rPr>
          <w:rStyle w:val="normaltextrun"/>
          <w:rFonts w:ascii="Arial" w:eastAsiaTheme="majorEastAsia" w:hAnsi="Arial" w:cs="Arial"/>
          <w:b/>
          <w:bCs/>
          <w:sz w:val="20"/>
          <w:szCs w:val="20"/>
          <w:lang w:val="pt-PT"/>
        </w:rPr>
        <w:t>As seguradoras enfrentam dificuldades em escalar soluções de Inteligência Artificial, apesar da crescente adoção destas tecnologias pelos colaboradores.</w:t>
      </w:r>
    </w:p>
    <w:p w14:paraId="63C03829" w14:textId="77777777" w:rsidR="005A1326" w:rsidRPr="00DE4DC5" w:rsidRDefault="005A1326" w:rsidP="00DE4DC5">
      <w:pPr>
        <w:pStyle w:val="paragraph"/>
        <w:spacing w:before="0" w:beforeAutospacing="0" w:after="0" w:afterAutospacing="0"/>
        <w:ind w:left="1080"/>
        <w:jc w:val="both"/>
        <w:textAlignment w:val="baseline"/>
        <w:rPr>
          <w:rStyle w:val="normaltextrun"/>
          <w:rFonts w:ascii="Arial" w:eastAsiaTheme="majorEastAsia" w:hAnsi="Arial" w:cs="Arial"/>
          <w:i/>
          <w:iCs/>
          <w:sz w:val="20"/>
          <w:szCs w:val="20"/>
          <w:lang w:val="pt-PT"/>
        </w:rPr>
      </w:pPr>
    </w:p>
    <w:p w14:paraId="47858AC5" w14:textId="77777777" w:rsidR="005A1326" w:rsidRPr="00DE4DC5" w:rsidRDefault="005A1326" w:rsidP="00DE4DC5">
      <w:pPr>
        <w:pStyle w:val="paragraph"/>
        <w:spacing w:before="0" w:beforeAutospacing="0" w:after="0" w:afterAutospacing="0"/>
        <w:jc w:val="both"/>
        <w:textAlignment w:val="baseline"/>
        <w:rPr>
          <w:rFonts w:ascii="Arial" w:hAnsi="Arial" w:cs="Arial"/>
          <w:sz w:val="21"/>
          <w:szCs w:val="21"/>
          <w:lang w:val="pt-PT"/>
        </w:rPr>
      </w:pPr>
    </w:p>
    <w:p w14:paraId="108A9F2A" w14:textId="086FAC11" w:rsidR="0006750B" w:rsidRPr="0014202E" w:rsidRDefault="00797F15"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b/>
          <w:bCs/>
          <w:i/>
          <w:iCs/>
          <w:sz w:val="20"/>
          <w:szCs w:val="20"/>
          <w:lang w:val="pt-PT"/>
        </w:rPr>
        <w:t>Lisboa,</w:t>
      </w:r>
      <w:r w:rsidR="00BE3C18">
        <w:rPr>
          <w:rFonts w:ascii="Arial" w:hAnsi="Arial" w:cs="Arial"/>
          <w:b/>
          <w:bCs/>
          <w:i/>
          <w:iCs/>
          <w:sz w:val="20"/>
          <w:szCs w:val="20"/>
          <w:lang w:val="pt-PT"/>
        </w:rPr>
        <w:t xml:space="preserve"> 1 de julho</w:t>
      </w:r>
      <w:r w:rsidRPr="0014202E">
        <w:rPr>
          <w:rFonts w:ascii="Arial" w:hAnsi="Arial" w:cs="Arial"/>
          <w:b/>
          <w:bCs/>
          <w:i/>
          <w:iCs/>
          <w:sz w:val="20"/>
          <w:szCs w:val="20"/>
          <w:lang w:val="pt-PT"/>
        </w:rPr>
        <w:t xml:space="preserve"> de 2026 -</w:t>
      </w:r>
      <w:r w:rsidRPr="0014202E">
        <w:rPr>
          <w:rFonts w:ascii="Arial" w:hAnsi="Arial" w:cs="Arial"/>
          <w:sz w:val="20"/>
          <w:szCs w:val="20"/>
          <w:lang w:val="pt-PT"/>
        </w:rPr>
        <w:t xml:space="preserve"> </w:t>
      </w:r>
      <w:r w:rsidR="0006750B" w:rsidRPr="0014202E">
        <w:rPr>
          <w:rFonts w:ascii="Arial" w:hAnsi="Arial" w:cs="Arial"/>
          <w:sz w:val="20"/>
          <w:szCs w:val="20"/>
          <w:lang w:val="pt-PT"/>
        </w:rPr>
        <w:t xml:space="preserve">A </w:t>
      </w:r>
      <w:hyperlink r:id="rId10" w:history="1">
        <w:r w:rsidR="0006750B" w:rsidRPr="0014202E">
          <w:rPr>
            <w:rStyle w:val="Hiperligao"/>
            <w:rFonts w:ascii="Arial" w:hAnsi="Arial" w:cs="Arial"/>
            <w:sz w:val="20"/>
            <w:szCs w:val="20"/>
            <w:lang w:val="pt-PT"/>
          </w:rPr>
          <w:t>NTT DATA</w:t>
        </w:r>
      </w:hyperlink>
      <w:r w:rsidR="0006750B" w:rsidRPr="0014202E">
        <w:rPr>
          <w:rFonts w:ascii="Arial" w:hAnsi="Arial" w:cs="Arial"/>
          <w:sz w:val="20"/>
          <w:szCs w:val="20"/>
          <w:lang w:val="pt-PT"/>
        </w:rPr>
        <w:t xml:space="preserve">, líder global em serviços de negócio, tecnologia e Inteligência Artificial, acaba de divulgar a mais recente edição do relatório </w:t>
      </w:r>
      <w:proofErr w:type="spellStart"/>
      <w:r w:rsidR="0006750B" w:rsidRPr="0014202E">
        <w:rPr>
          <w:rFonts w:ascii="Arial" w:hAnsi="Arial" w:cs="Arial"/>
          <w:sz w:val="20"/>
          <w:szCs w:val="20"/>
          <w:lang w:val="pt-PT"/>
        </w:rPr>
        <w:t>Insurtech</w:t>
      </w:r>
      <w:proofErr w:type="spellEnd"/>
      <w:r w:rsidR="0006750B" w:rsidRPr="0014202E">
        <w:rPr>
          <w:rFonts w:ascii="Arial" w:hAnsi="Arial" w:cs="Arial"/>
          <w:sz w:val="20"/>
          <w:szCs w:val="20"/>
          <w:lang w:val="pt-PT"/>
        </w:rPr>
        <w:t xml:space="preserve"> Global Outlook 2026, </w:t>
      </w:r>
      <w:r w:rsidR="002325BC" w:rsidRPr="0014202E">
        <w:rPr>
          <w:rFonts w:ascii="Arial" w:hAnsi="Arial" w:cs="Arial"/>
          <w:sz w:val="20"/>
          <w:szCs w:val="20"/>
          <w:lang w:val="pt-PT"/>
        </w:rPr>
        <w:t xml:space="preserve">segundo o qual </w:t>
      </w:r>
      <w:r w:rsidR="00830BA1" w:rsidRPr="0014202E">
        <w:rPr>
          <w:rFonts w:ascii="Arial" w:hAnsi="Arial" w:cs="Arial"/>
          <w:sz w:val="20"/>
          <w:szCs w:val="20"/>
          <w:lang w:val="pt-PT"/>
        </w:rPr>
        <w:t>o sector segurador</w:t>
      </w:r>
      <w:r w:rsidR="0006750B" w:rsidRPr="0014202E">
        <w:rPr>
          <w:rFonts w:ascii="Arial" w:hAnsi="Arial" w:cs="Arial"/>
          <w:sz w:val="20"/>
          <w:szCs w:val="20"/>
          <w:lang w:val="pt-PT"/>
        </w:rPr>
        <w:t xml:space="preserve"> se encontra num momento decisivo de transformação estrutural, impulsionado pelo aumento das perdas não seguradas e das reclamações de responsabilidade. O relatório deixa uma mensagem clara: os riscos estão a acelerar e </w:t>
      </w:r>
      <w:r w:rsidR="00F90632" w:rsidRPr="0014202E">
        <w:rPr>
          <w:rFonts w:ascii="Arial" w:hAnsi="Arial" w:cs="Arial"/>
          <w:sz w:val="20"/>
          <w:szCs w:val="20"/>
          <w:lang w:val="pt-PT"/>
        </w:rPr>
        <w:t>a inação já não é uma opção</w:t>
      </w:r>
      <w:r w:rsidR="0006750B" w:rsidRPr="0014202E">
        <w:rPr>
          <w:rFonts w:ascii="Arial" w:hAnsi="Arial" w:cs="Arial"/>
          <w:sz w:val="20"/>
          <w:szCs w:val="20"/>
          <w:lang w:val="pt-PT"/>
        </w:rPr>
        <w:t>.</w:t>
      </w:r>
    </w:p>
    <w:p w14:paraId="78A207E4" w14:textId="77777777" w:rsidR="000E535E" w:rsidRPr="0014202E" w:rsidRDefault="000E535E" w:rsidP="00DE4DC5">
      <w:pPr>
        <w:pStyle w:val="paragraph"/>
        <w:spacing w:before="0" w:beforeAutospacing="0" w:after="0" w:afterAutospacing="0"/>
        <w:jc w:val="both"/>
        <w:textAlignment w:val="baseline"/>
        <w:rPr>
          <w:rFonts w:ascii="Arial" w:hAnsi="Arial" w:cs="Arial"/>
          <w:sz w:val="20"/>
          <w:szCs w:val="20"/>
          <w:lang w:val="pt-PT"/>
        </w:rPr>
      </w:pPr>
    </w:p>
    <w:p w14:paraId="07DEA625" w14:textId="39A56318" w:rsidR="000E535E" w:rsidRPr="0014202E" w:rsidRDefault="000E535E"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sz w:val="20"/>
          <w:szCs w:val="20"/>
          <w:lang w:val="pt-PT"/>
        </w:rPr>
        <w:t xml:space="preserve">O relatório conclui que a </w:t>
      </w:r>
      <w:proofErr w:type="spellStart"/>
      <w:r w:rsidRPr="0014202E">
        <w:rPr>
          <w:rFonts w:ascii="Arial" w:hAnsi="Arial" w:cs="Arial"/>
          <w:sz w:val="20"/>
          <w:szCs w:val="20"/>
          <w:lang w:val="pt-PT"/>
        </w:rPr>
        <w:t>cibersegurança</w:t>
      </w:r>
      <w:proofErr w:type="spellEnd"/>
      <w:r w:rsidRPr="0014202E">
        <w:rPr>
          <w:rFonts w:ascii="Arial" w:hAnsi="Arial" w:cs="Arial"/>
          <w:sz w:val="20"/>
          <w:szCs w:val="20"/>
          <w:lang w:val="pt-PT"/>
        </w:rPr>
        <w:t xml:space="preserve"> é atualmente o principal risco para o setor segurador, prevendo-se que as perdas não seguradas associadas a este fenómeno aumentem de 171 mil milhões de dólares, em 2023, para mais de 700 mil milhões de dólares até 2030. Ao mesmo tempo, as perdas não seguradas relacionadas com fenómenos climáticos, como eventos meteorológicos extremos, inundações e incêndios florestais, ascendem já a 180 mil milhões de dólares, enquanto </w:t>
      </w:r>
      <w:r w:rsidR="00E64CD6">
        <w:rPr>
          <w:rFonts w:ascii="Arial" w:hAnsi="Arial" w:cs="Arial"/>
          <w:sz w:val="20"/>
          <w:szCs w:val="20"/>
          <w:lang w:val="pt-PT"/>
        </w:rPr>
        <w:t>os sinistros</w:t>
      </w:r>
      <w:r w:rsidRPr="0014202E">
        <w:rPr>
          <w:rFonts w:ascii="Arial" w:hAnsi="Arial" w:cs="Arial"/>
          <w:sz w:val="20"/>
          <w:szCs w:val="20"/>
          <w:lang w:val="pt-PT"/>
        </w:rPr>
        <w:t xml:space="preserve"> de responsabilidade registam um aumento de 57%.</w:t>
      </w:r>
    </w:p>
    <w:p w14:paraId="3B05380D" w14:textId="77777777" w:rsidR="0006750B" w:rsidRPr="0014202E" w:rsidRDefault="0006750B" w:rsidP="00DE4DC5">
      <w:pPr>
        <w:pStyle w:val="paragraph"/>
        <w:spacing w:before="0" w:beforeAutospacing="0" w:after="0" w:afterAutospacing="0"/>
        <w:jc w:val="both"/>
        <w:textAlignment w:val="baseline"/>
        <w:rPr>
          <w:rFonts w:ascii="Arial" w:hAnsi="Arial" w:cs="Arial"/>
          <w:sz w:val="20"/>
          <w:szCs w:val="20"/>
          <w:lang w:val="pt-PT"/>
        </w:rPr>
      </w:pPr>
    </w:p>
    <w:p w14:paraId="3F26A109" w14:textId="19C8B255" w:rsidR="008A0061" w:rsidRPr="0014202E" w:rsidRDefault="008A0061"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sz w:val="20"/>
          <w:szCs w:val="20"/>
          <w:lang w:val="pt-PT"/>
        </w:rPr>
        <w:t xml:space="preserve">Perante um mercado cada vez mais volátil, a criação de operações nativas em Inteligência Artificial e assentes em modelos </w:t>
      </w:r>
      <w:r w:rsidR="00E64CD6">
        <w:rPr>
          <w:rFonts w:ascii="Arial" w:hAnsi="Arial" w:cs="Arial"/>
          <w:sz w:val="20"/>
          <w:szCs w:val="20"/>
          <w:lang w:val="pt-PT"/>
        </w:rPr>
        <w:t>baseados em agentes</w:t>
      </w:r>
      <w:r w:rsidR="00E64CD6" w:rsidRPr="0014202E">
        <w:rPr>
          <w:rFonts w:ascii="Arial" w:hAnsi="Arial" w:cs="Arial"/>
          <w:sz w:val="20"/>
          <w:szCs w:val="20"/>
          <w:lang w:val="pt-PT"/>
        </w:rPr>
        <w:t xml:space="preserve"> </w:t>
      </w:r>
      <w:r w:rsidR="00BF1FA4" w:rsidRPr="0014202E">
        <w:rPr>
          <w:rFonts w:ascii="Arial" w:hAnsi="Arial" w:cs="Arial"/>
          <w:sz w:val="20"/>
          <w:szCs w:val="20"/>
          <w:lang w:val="pt-PT"/>
        </w:rPr>
        <w:t>poder</w:t>
      </w:r>
      <w:r w:rsidR="00BF1FA4">
        <w:rPr>
          <w:rFonts w:ascii="Arial" w:hAnsi="Arial" w:cs="Arial"/>
          <w:sz w:val="20"/>
          <w:szCs w:val="20"/>
          <w:lang w:val="pt-PT"/>
        </w:rPr>
        <w:t>ão</w:t>
      </w:r>
      <w:r w:rsidR="00BF1FA4" w:rsidRPr="0014202E">
        <w:rPr>
          <w:rFonts w:ascii="Arial" w:hAnsi="Arial" w:cs="Arial"/>
          <w:sz w:val="20"/>
          <w:szCs w:val="20"/>
          <w:lang w:val="pt-PT"/>
        </w:rPr>
        <w:t xml:space="preserve"> </w:t>
      </w:r>
      <w:r w:rsidRPr="0014202E">
        <w:rPr>
          <w:rFonts w:ascii="Arial" w:hAnsi="Arial" w:cs="Arial"/>
          <w:sz w:val="20"/>
          <w:szCs w:val="20"/>
          <w:lang w:val="pt-PT"/>
        </w:rPr>
        <w:t>permitir às seguradoras alcançar poupanças de custos de até 35%, através da automação e da otimização de processos. No entanto, persiste um entrave significativo: apenas 22% das seguradoras conseguiram escalar a Inteligência Artificial para a fase de produção, apesar de 66% dos profissionais do setor já utilizarem ferramentas de IA. As principais limitações não são de natureza tecnológica, mas estão relacionadas com questões de confiança, governação e modelos operacionais que não foram concebidos para a era da Inteligência Artificial.</w:t>
      </w:r>
    </w:p>
    <w:p w14:paraId="62427737" w14:textId="45607329" w:rsidR="00AD058B" w:rsidRPr="0014202E" w:rsidRDefault="00AD058B" w:rsidP="00DE4DC5">
      <w:pPr>
        <w:pStyle w:val="paragraph"/>
        <w:spacing w:before="0" w:beforeAutospacing="0" w:after="0" w:afterAutospacing="0"/>
        <w:jc w:val="both"/>
        <w:textAlignment w:val="baseline"/>
        <w:rPr>
          <w:rFonts w:ascii="Arial" w:hAnsi="Arial" w:cs="Arial"/>
          <w:sz w:val="20"/>
          <w:szCs w:val="20"/>
          <w:lang w:val="pt-PT"/>
        </w:rPr>
      </w:pPr>
    </w:p>
    <w:p w14:paraId="6767F67A" w14:textId="27702B16" w:rsidR="00337762" w:rsidRPr="0014202E" w:rsidRDefault="00337762"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sz w:val="20"/>
          <w:szCs w:val="20"/>
          <w:lang w:val="pt-PT"/>
        </w:rPr>
        <w:t xml:space="preserve">Além disso, o relatório revela que as ofertas públicas iniciais (IPO) de seguradoras nos Estados Unidos atingiram o valor mais elevado dos últimos 20 anos e que as </w:t>
      </w:r>
      <w:proofErr w:type="spellStart"/>
      <w:r w:rsidRPr="0014202E">
        <w:rPr>
          <w:rFonts w:ascii="Arial" w:hAnsi="Arial" w:cs="Arial"/>
          <w:sz w:val="20"/>
          <w:szCs w:val="20"/>
          <w:lang w:val="pt-PT"/>
        </w:rPr>
        <w:t>startups</w:t>
      </w:r>
      <w:proofErr w:type="spellEnd"/>
      <w:r w:rsidRPr="0014202E">
        <w:rPr>
          <w:rFonts w:ascii="Arial" w:hAnsi="Arial" w:cs="Arial"/>
          <w:sz w:val="20"/>
          <w:szCs w:val="20"/>
          <w:lang w:val="pt-PT"/>
        </w:rPr>
        <w:t xml:space="preserve"> estão a recorrer cada vez mais ao endividamento, numa altura em que o financiamento por dívida alcança os 9,5 mil milhões de dólares, ultrapassando o financiamento por capital próprio.</w:t>
      </w:r>
    </w:p>
    <w:p w14:paraId="169A3953" w14:textId="1008F850" w:rsidR="00AD058B" w:rsidRPr="0014202E" w:rsidRDefault="00AD058B" w:rsidP="00DE4DC5">
      <w:pPr>
        <w:pStyle w:val="paragraph"/>
        <w:spacing w:before="0" w:beforeAutospacing="0" w:after="0" w:afterAutospacing="0"/>
        <w:jc w:val="both"/>
        <w:textAlignment w:val="baseline"/>
        <w:rPr>
          <w:rFonts w:ascii="Arial" w:hAnsi="Arial" w:cs="Arial"/>
          <w:sz w:val="20"/>
          <w:szCs w:val="20"/>
          <w:lang w:val="pt-PT"/>
        </w:rPr>
      </w:pPr>
    </w:p>
    <w:p w14:paraId="76B50014" w14:textId="1CD1F2C6" w:rsidR="00EE559E" w:rsidRPr="0014202E" w:rsidRDefault="00EE559E"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sz w:val="20"/>
          <w:szCs w:val="20"/>
          <w:lang w:val="pt-PT"/>
        </w:rPr>
        <w:t xml:space="preserve">Para ajudar as seguradoras a responder a estes desafios, o relatório destaca </w:t>
      </w:r>
      <w:r w:rsidRPr="0014202E">
        <w:rPr>
          <w:rFonts w:ascii="Arial" w:hAnsi="Arial" w:cs="Arial"/>
          <w:b/>
          <w:bCs/>
          <w:sz w:val="20"/>
          <w:szCs w:val="20"/>
          <w:lang w:val="pt-PT"/>
        </w:rPr>
        <w:t>quatro conclusões fundamentais e apresenta recomendações práticas</w:t>
      </w:r>
      <w:r w:rsidRPr="0014202E">
        <w:rPr>
          <w:rFonts w:ascii="Arial" w:hAnsi="Arial" w:cs="Arial"/>
          <w:sz w:val="20"/>
          <w:szCs w:val="20"/>
          <w:lang w:val="pt-PT"/>
        </w:rPr>
        <w:t xml:space="preserve"> para capitalizar as oportunidades que delas decorrem:</w:t>
      </w:r>
    </w:p>
    <w:p w14:paraId="4FD57379" w14:textId="5981DD24" w:rsidR="00AD058B" w:rsidRPr="0014202E" w:rsidRDefault="00AD058B" w:rsidP="00DE4DC5">
      <w:pPr>
        <w:pStyle w:val="paragraph"/>
        <w:spacing w:before="0" w:beforeAutospacing="0" w:after="0" w:afterAutospacing="0"/>
        <w:jc w:val="both"/>
        <w:textAlignment w:val="baseline"/>
        <w:rPr>
          <w:rFonts w:ascii="Arial" w:hAnsi="Arial" w:cs="Arial"/>
          <w:sz w:val="20"/>
          <w:szCs w:val="20"/>
          <w:lang w:val="pt-PT"/>
        </w:rPr>
      </w:pPr>
    </w:p>
    <w:p w14:paraId="68AA6AEF" w14:textId="7ABD627E" w:rsidR="00F21574" w:rsidRPr="0014202E" w:rsidRDefault="00BE7F21" w:rsidP="00DE4DC5">
      <w:pPr>
        <w:pStyle w:val="paragraph"/>
        <w:spacing w:before="0" w:beforeAutospacing="0" w:after="0" w:afterAutospacing="0"/>
        <w:ind w:left="284"/>
        <w:jc w:val="both"/>
        <w:textAlignment w:val="baseline"/>
        <w:rPr>
          <w:rFonts w:ascii="Arial" w:hAnsi="Arial" w:cs="Arial"/>
          <w:sz w:val="20"/>
          <w:szCs w:val="20"/>
          <w:lang w:val="pt-PT"/>
        </w:rPr>
      </w:pPr>
      <w:r w:rsidRPr="0014202E">
        <w:rPr>
          <w:rFonts w:ascii="Arial" w:hAnsi="Arial" w:cs="Arial"/>
          <w:b/>
          <w:bCs/>
          <w:sz w:val="20"/>
          <w:szCs w:val="20"/>
          <w:lang w:val="pt-PT"/>
        </w:rPr>
        <w:t xml:space="preserve">• </w:t>
      </w:r>
      <w:r w:rsidR="00F21574" w:rsidRPr="0014202E">
        <w:rPr>
          <w:rFonts w:ascii="Arial" w:hAnsi="Arial" w:cs="Arial"/>
          <w:b/>
          <w:bCs/>
          <w:sz w:val="20"/>
          <w:szCs w:val="20"/>
          <w:lang w:val="pt-PT"/>
        </w:rPr>
        <w:t>Incorporar a resiliência nos modelos operacionais:</w:t>
      </w:r>
      <w:r w:rsidR="00F21574" w:rsidRPr="0014202E">
        <w:rPr>
          <w:rFonts w:ascii="Arial" w:hAnsi="Arial" w:cs="Arial"/>
          <w:sz w:val="20"/>
          <w:szCs w:val="20"/>
          <w:lang w:val="pt-PT"/>
        </w:rPr>
        <w:t xml:space="preserve"> À medida que os riscos crescem mais rapidamente do que a capacidade de cobertura do setor segurador, as seguradoras devem passar de uma lógica reativa de indemnização para uma abordagem contínua de deteção, tomada de decisão e prevenção do risco, suportada por dados, Inteligência Artificial e simulação. </w:t>
      </w:r>
    </w:p>
    <w:p w14:paraId="7FF4FDB7" w14:textId="77777777" w:rsidR="00F21574" w:rsidRPr="0014202E" w:rsidRDefault="00F21574" w:rsidP="00DE4DC5">
      <w:pPr>
        <w:pStyle w:val="paragraph"/>
        <w:spacing w:before="0" w:beforeAutospacing="0" w:after="0" w:afterAutospacing="0"/>
        <w:ind w:left="284"/>
        <w:jc w:val="both"/>
        <w:textAlignment w:val="baseline"/>
        <w:rPr>
          <w:rFonts w:ascii="Arial" w:hAnsi="Arial" w:cs="Arial"/>
          <w:sz w:val="20"/>
          <w:szCs w:val="20"/>
          <w:lang w:val="pt-PT"/>
        </w:rPr>
      </w:pPr>
    </w:p>
    <w:p w14:paraId="6CD53940" w14:textId="741DCDE6" w:rsidR="00F21574" w:rsidRPr="0014202E" w:rsidRDefault="00BE7F21" w:rsidP="00DE4DC5">
      <w:pPr>
        <w:pStyle w:val="paragraph"/>
        <w:spacing w:before="0" w:beforeAutospacing="0" w:after="0" w:afterAutospacing="0"/>
        <w:ind w:left="284"/>
        <w:jc w:val="both"/>
        <w:textAlignment w:val="baseline"/>
        <w:rPr>
          <w:rFonts w:ascii="Arial" w:hAnsi="Arial" w:cs="Arial"/>
          <w:sz w:val="20"/>
          <w:szCs w:val="20"/>
          <w:lang w:val="pt-PT"/>
        </w:rPr>
      </w:pPr>
      <w:r w:rsidRPr="0014202E">
        <w:rPr>
          <w:rFonts w:ascii="Arial" w:hAnsi="Arial" w:cs="Arial"/>
          <w:b/>
          <w:bCs/>
          <w:sz w:val="20"/>
          <w:szCs w:val="20"/>
          <w:lang w:val="pt-PT"/>
        </w:rPr>
        <w:t xml:space="preserve">• </w:t>
      </w:r>
      <w:r w:rsidR="00F21574" w:rsidRPr="0014202E">
        <w:rPr>
          <w:rFonts w:ascii="Arial" w:hAnsi="Arial" w:cs="Arial"/>
          <w:b/>
          <w:bCs/>
          <w:sz w:val="20"/>
          <w:szCs w:val="20"/>
          <w:lang w:val="pt-PT"/>
        </w:rPr>
        <w:t xml:space="preserve">Implementar Inteligência Artificial responsável </w:t>
      </w:r>
      <w:r w:rsidR="00B651A0">
        <w:rPr>
          <w:rFonts w:ascii="Arial" w:hAnsi="Arial" w:cs="Arial"/>
          <w:b/>
          <w:bCs/>
          <w:sz w:val="20"/>
          <w:szCs w:val="20"/>
          <w:lang w:val="pt-PT"/>
        </w:rPr>
        <w:t>em</w:t>
      </w:r>
      <w:r w:rsidR="00B651A0" w:rsidRPr="0014202E">
        <w:rPr>
          <w:rFonts w:ascii="Arial" w:hAnsi="Arial" w:cs="Arial"/>
          <w:b/>
          <w:bCs/>
          <w:sz w:val="20"/>
          <w:szCs w:val="20"/>
          <w:lang w:val="pt-PT"/>
        </w:rPr>
        <w:t xml:space="preserve"> </w:t>
      </w:r>
      <w:r w:rsidR="00F21574" w:rsidRPr="0014202E">
        <w:rPr>
          <w:rFonts w:ascii="Arial" w:hAnsi="Arial" w:cs="Arial"/>
          <w:b/>
          <w:bCs/>
          <w:sz w:val="20"/>
          <w:szCs w:val="20"/>
          <w:lang w:val="pt-PT"/>
        </w:rPr>
        <w:t>escala:</w:t>
      </w:r>
      <w:r w:rsidR="00F21574" w:rsidRPr="0014202E">
        <w:rPr>
          <w:rFonts w:ascii="Arial" w:hAnsi="Arial" w:cs="Arial"/>
          <w:sz w:val="20"/>
          <w:szCs w:val="20"/>
          <w:lang w:val="pt-PT"/>
        </w:rPr>
        <w:t xml:space="preserve"> Para promover a sua adoção, as operações nativas em IA e assentes em modelos </w:t>
      </w:r>
      <w:proofErr w:type="spellStart"/>
      <w:r w:rsidR="00F21574" w:rsidRPr="0014202E">
        <w:rPr>
          <w:rFonts w:ascii="Arial" w:hAnsi="Arial" w:cs="Arial"/>
          <w:sz w:val="20"/>
          <w:szCs w:val="20"/>
          <w:lang w:val="pt-PT"/>
        </w:rPr>
        <w:t>agentic</w:t>
      </w:r>
      <w:proofErr w:type="spellEnd"/>
      <w:r w:rsidR="00F21574" w:rsidRPr="0014202E">
        <w:rPr>
          <w:rFonts w:ascii="Arial" w:hAnsi="Arial" w:cs="Arial"/>
          <w:sz w:val="20"/>
          <w:szCs w:val="20"/>
          <w:lang w:val="pt-PT"/>
        </w:rPr>
        <w:t xml:space="preserve"> exigem, desde a sua conceção, </w:t>
      </w:r>
      <w:r w:rsidR="00B651A0">
        <w:rPr>
          <w:rFonts w:ascii="Arial" w:hAnsi="Arial" w:cs="Arial"/>
          <w:sz w:val="20"/>
          <w:szCs w:val="20"/>
          <w:lang w:val="pt-PT"/>
        </w:rPr>
        <w:t xml:space="preserve">de </w:t>
      </w:r>
      <w:r w:rsidR="00F21574" w:rsidRPr="0014202E">
        <w:rPr>
          <w:rFonts w:ascii="Arial" w:hAnsi="Arial" w:cs="Arial"/>
          <w:sz w:val="20"/>
          <w:szCs w:val="20"/>
          <w:lang w:val="pt-PT"/>
        </w:rPr>
        <w:t xml:space="preserve">mecanismos de explicabilidade, conformidade regulatória e responsabilização humana. </w:t>
      </w:r>
    </w:p>
    <w:p w14:paraId="64CE7455" w14:textId="77777777" w:rsidR="00F47925" w:rsidRPr="0014202E" w:rsidRDefault="00F47925" w:rsidP="00DE4DC5">
      <w:pPr>
        <w:pStyle w:val="paragraph"/>
        <w:spacing w:before="0" w:beforeAutospacing="0" w:after="0" w:afterAutospacing="0"/>
        <w:ind w:left="284"/>
        <w:jc w:val="both"/>
        <w:textAlignment w:val="baseline"/>
        <w:rPr>
          <w:rFonts w:ascii="Arial" w:hAnsi="Arial" w:cs="Arial"/>
          <w:sz w:val="20"/>
          <w:szCs w:val="20"/>
          <w:lang w:val="pt-PT"/>
        </w:rPr>
      </w:pPr>
    </w:p>
    <w:p w14:paraId="4B0231B4" w14:textId="3670D855" w:rsidR="00F21574" w:rsidRPr="0014202E" w:rsidRDefault="00BE7F21" w:rsidP="00DE4DC5">
      <w:pPr>
        <w:pStyle w:val="paragraph"/>
        <w:spacing w:before="0" w:beforeAutospacing="0" w:after="0" w:afterAutospacing="0"/>
        <w:ind w:left="284"/>
        <w:jc w:val="both"/>
        <w:textAlignment w:val="baseline"/>
        <w:rPr>
          <w:rFonts w:ascii="Arial" w:hAnsi="Arial" w:cs="Arial"/>
          <w:sz w:val="20"/>
          <w:szCs w:val="20"/>
          <w:lang w:val="pt-PT"/>
        </w:rPr>
      </w:pPr>
      <w:r w:rsidRPr="0014202E">
        <w:rPr>
          <w:rFonts w:ascii="Arial" w:hAnsi="Arial" w:cs="Arial"/>
          <w:b/>
          <w:bCs/>
          <w:sz w:val="20"/>
          <w:szCs w:val="20"/>
          <w:lang w:val="pt-PT"/>
        </w:rPr>
        <w:t xml:space="preserve">• </w:t>
      </w:r>
      <w:r w:rsidR="00F21574" w:rsidRPr="0014202E">
        <w:rPr>
          <w:rFonts w:ascii="Arial" w:hAnsi="Arial" w:cs="Arial"/>
          <w:b/>
          <w:bCs/>
          <w:sz w:val="20"/>
          <w:szCs w:val="20"/>
          <w:lang w:val="pt-PT"/>
        </w:rPr>
        <w:t>Proporcionar experiências de cliente nativas em IA, mais empáticas e centradas na prevenção:</w:t>
      </w:r>
      <w:r w:rsidR="00F21574" w:rsidRPr="0014202E">
        <w:rPr>
          <w:rFonts w:ascii="Arial" w:hAnsi="Arial" w:cs="Arial"/>
          <w:sz w:val="20"/>
          <w:szCs w:val="20"/>
          <w:lang w:val="pt-PT"/>
        </w:rPr>
        <w:t xml:space="preserve"> A hiperpersonalização cresce a uma taxa anual composta superior </w:t>
      </w:r>
      <w:r w:rsidR="00B651A0">
        <w:rPr>
          <w:rFonts w:ascii="Arial" w:hAnsi="Arial" w:cs="Arial"/>
          <w:sz w:val="20"/>
          <w:szCs w:val="20"/>
          <w:lang w:val="pt-PT"/>
        </w:rPr>
        <w:t>de</w:t>
      </w:r>
      <w:r w:rsidR="00B651A0" w:rsidRPr="0014202E">
        <w:rPr>
          <w:rFonts w:ascii="Arial" w:hAnsi="Arial" w:cs="Arial"/>
          <w:sz w:val="20"/>
          <w:szCs w:val="20"/>
          <w:lang w:val="pt-PT"/>
        </w:rPr>
        <w:t xml:space="preserve"> </w:t>
      </w:r>
      <w:r w:rsidR="00F21574" w:rsidRPr="0014202E">
        <w:rPr>
          <w:rFonts w:ascii="Arial" w:hAnsi="Arial" w:cs="Arial"/>
          <w:sz w:val="20"/>
          <w:szCs w:val="20"/>
          <w:lang w:val="pt-PT"/>
        </w:rPr>
        <w:t xml:space="preserve">35% (CAGR) e 67% das entidades empregadoras estão a aumentar o investimento em prevenção, refletindo a crescente procura por um modelo de seguros mais empático e orientado para a prevenção. </w:t>
      </w:r>
    </w:p>
    <w:p w14:paraId="5F608066" w14:textId="77777777" w:rsidR="00F47925" w:rsidRPr="0014202E" w:rsidRDefault="00F47925" w:rsidP="00DE4DC5">
      <w:pPr>
        <w:pStyle w:val="paragraph"/>
        <w:spacing w:before="0" w:beforeAutospacing="0" w:after="0" w:afterAutospacing="0"/>
        <w:ind w:left="284"/>
        <w:jc w:val="both"/>
        <w:textAlignment w:val="baseline"/>
        <w:rPr>
          <w:rFonts w:ascii="Arial" w:hAnsi="Arial" w:cs="Arial"/>
          <w:sz w:val="20"/>
          <w:szCs w:val="20"/>
          <w:lang w:val="pt-PT"/>
        </w:rPr>
      </w:pPr>
    </w:p>
    <w:p w14:paraId="6247B472" w14:textId="2227FE63" w:rsidR="00F21574" w:rsidRPr="0014202E" w:rsidRDefault="00BE7F21" w:rsidP="00DE4DC5">
      <w:pPr>
        <w:pStyle w:val="paragraph"/>
        <w:spacing w:before="0" w:beforeAutospacing="0" w:after="0" w:afterAutospacing="0"/>
        <w:ind w:left="284"/>
        <w:jc w:val="both"/>
        <w:textAlignment w:val="baseline"/>
        <w:rPr>
          <w:rFonts w:ascii="Arial" w:hAnsi="Arial" w:cs="Arial"/>
          <w:sz w:val="20"/>
          <w:szCs w:val="20"/>
          <w:lang w:val="pt-PT"/>
        </w:rPr>
      </w:pPr>
      <w:r w:rsidRPr="0014202E">
        <w:rPr>
          <w:rFonts w:ascii="Arial" w:hAnsi="Arial" w:cs="Arial"/>
          <w:b/>
          <w:bCs/>
          <w:sz w:val="20"/>
          <w:szCs w:val="20"/>
          <w:lang w:val="pt-PT"/>
        </w:rPr>
        <w:lastRenderedPageBreak/>
        <w:t xml:space="preserve">• </w:t>
      </w:r>
      <w:r w:rsidR="00F21574" w:rsidRPr="0014202E">
        <w:rPr>
          <w:rFonts w:ascii="Arial" w:hAnsi="Arial" w:cs="Arial"/>
          <w:b/>
          <w:bCs/>
          <w:sz w:val="20"/>
          <w:szCs w:val="20"/>
          <w:lang w:val="pt-PT"/>
        </w:rPr>
        <w:t>Criar valor através de ecossistemas:</w:t>
      </w:r>
      <w:r w:rsidR="00F21574" w:rsidRPr="0014202E">
        <w:rPr>
          <w:rFonts w:ascii="Arial" w:hAnsi="Arial" w:cs="Arial"/>
          <w:sz w:val="20"/>
          <w:szCs w:val="20"/>
          <w:lang w:val="pt-PT"/>
        </w:rPr>
        <w:t xml:space="preserve"> Os ecossistemas de parceria, apoiados </w:t>
      </w:r>
      <w:r w:rsidR="00B651A0">
        <w:rPr>
          <w:rFonts w:ascii="Arial" w:hAnsi="Arial" w:cs="Arial"/>
          <w:sz w:val="20"/>
          <w:szCs w:val="20"/>
          <w:lang w:val="pt-PT"/>
        </w:rPr>
        <w:t>por</w:t>
      </w:r>
      <w:r w:rsidR="00B651A0" w:rsidRPr="0014202E">
        <w:rPr>
          <w:rFonts w:ascii="Arial" w:hAnsi="Arial" w:cs="Arial"/>
          <w:sz w:val="20"/>
          <w:szCs w:val="20"/>
          <w:lang w:val="pt-PT"/>
        </w:rPr>
        <w:t xml:space="preserve"> </w:t>
      </w:r>
      <w:r w:rsidR="00F21574" w:rsidRPr="0014202E">
        <w:rPr>
          <w:rFonts w:ascii="Arial" w:hAnsi="Arial" w:cs="Arial"/>
          <w:sz w:val="20"/>
          <w:szCs w:val="20"/>
          <w:lang w:val="pt-PT"/>
        </w:rPr>
        <w:t>normas abertas e em infraestruturas preparadas para responder às exigências regulatórias, afirmam-se como importantes motores de crescimento, num contexto em que o mercado de seguros integrados (</w:t>
      </w:r>
      <w:proofErr w:type="spellStart"/>
      <w:r w:rsidR="00F21574" w:rsidRPr="0014202E">
        <w:rPr>
          <w:rFonts w:ascii="Arial" w:hAnsi="Arial" w:cs="Arial"/>
          <w:i/>
          <w:iCs/>
          <w:sz w:val="20"/>
          <w:szCs w:val="20"/>
          <w:lang w:val="pt-PT"/>
        </w:rPr>
        <w:t>embedded</w:t>
      </w:r>
      <w:proofErr w:type="spellEnd"/>
      <w:r w:rsidR="00F21574" w:rsidRPr="0014202E">
        <w:rPr>
          <w:rFonts w:ascii="Arial" w:hAnsi="Arial" w:cs="Arial"/>
          <w:i/>
          <w:iCs/>
          <w:sz w:val="20"/>
          <w:szCs w:val="20"/>
          <w:lang w:val="pt-PT"/>
        </w:rPr>
        <w:t xml:space="preserve"> </w:t>
      </w:r>
      <w:proofErr w:type="spellStart"/>
      <w:r w:rsidR="00F21574" w:rsidRPr="0014202E">
        <w:rPr>
          <w:rFonts w:ascii="Arial" w:hAnsi="Arial" w:cs="Arial"/>
          <w:i/>
          <w:iCs/>
          <w:sz w:val="20"/>
          <w:szCs w:val="20"/>
          <w:lang w:val="pt-PT"/>
        </w:rPr>
        <w:t>insurance</w:t>
      </w:r>
      <w:proofErr w:type="spellEnd"/>
      <w:r w:rsidR="00F21574" w:rsidRPr="0014202E">
        <w:rPr>
          <w:rFonts w:ascii="Arial" w:hAnsi="Arial" w:cs="Arial"/>
          <w:sz w:val="20"/>
          <w:szCs w:val="20"/>
          <w:lang w:val="pt-PT"/>
        </w:rPr>
        <w:t>) ultrapassa os 116 mil milhões de dólares em 2025.</w:t>
      </w:r>
    </w:p>
    <w:p w14:paraId="45D6ECCB" w14:textId="1FA110F6" w:rsidR="00AD058B" w:rsidRPr="0014202E" w:rsidRDefault="00A112C0" w:rsidP="00DE4DC5">
      <w:pPr>
        <w:pStyle w:val="paragraph"/>
        <w:spacing w:before="0" w:beforeAutospacing="0" w:after="0" w:afterAutospacing="0"/>
        <w:jc w:val="both"/>
        <w:textAlignment w:val="baseline"/>
        <w:rPr>
          <w:rStyle w:val="eop"/>
          <w:rFonts w:ascii="Arial" w:eastAsiaTheme="majorEastAsia" w:hAnsi="Arial" w:cs="Arial"/>
          <w:sz w:val="20"/>
          <w:szCs w:val="20"/>
          <w:bdr w:val="none" w:sz="0" w:space="0" w:color="auto" w:frame="1"/>
          <w:shd w:val="clear" w:color="auto" w:fill="C6C6C6"/>
          <w:lang w:val="pt-PT"/>
        </w:rPr>
      </w:pPr>
      <w:r w:rsidRPr="0014202E">
        <w:rPr>
          <w:rStyle w:val="normaltextrun"/>
          <w:rFonts w:ascii="Arial" w:eastAsiaTheme="majorEastAsia" w:hAnsi="Arial" w:cs="Arial"/>
          <w:sz w:val="20"/>
          <w:szCs w:val="20"/>
          <w:lang w:val="pt-PT"/>
        </w:rPr>
        <w:br/>
      </w:r>
    </w:p>
    <w:p w14:paraId="445464E0" w14:textId="6577C72D" w:rsidR="00CD30DC" w:rsidRPr="00E64CD6" w:rsidRDefault="00CD30DC" w:rsidP="00DE4DC5">
      <w:pPr>
        <w:pStyle w:val="paragraph"/>
        <w:spacing w:before="0" w:beforeAutospacing="0" w:after="0" w:afterAutospacing="0"/>
        <w:jc w:val="both"/>
        <w:textAlignment w:val="baseline"/>
        <w:rPr>
          <w:rStyle w:val="normaltextrun"/>
          <w:rFonts w:ascii="Arial" w:hAnsi="Arial" w:cs="Arial"/>
          <w:i/>
          <w:iCs/>
          <w:sz w:val="20"/>
          <w:szCs w:val="20"/>
          <w:lang w:val="pt-PT"/>
        </w:rPr>
      </w:pPr>
      <w:r w:rsidRPr="00E64CD6">
        <w:rPr>
          <w:rStyle w:val="normaltextrun"/>
          <w:rFonts w:ascii="Arial" w:hAnsi="Arial" w:cs="Arial"/>
          <w:i/>
          <w:iCs/>
          <w:sz w:val="20"/>
          <w:szCs w:val="20"/>
          <w:lang w:val="pt-PT"/>
        </w:rPr>
        <w:t xml:space="preserve">“A indústria seguradora enfrenta transformações estruturais num contexto de volatilidade e incerteza sem precedentes. No entanto, existem oportunidades claras para que as seguradoras adotem soluções </w:t>
      </w:r>
      <w:r w:rsidR="00E64CD6">
        <w:rPr>
          <w:rStyle w:val="normaltextrun"/>
          <w:rFonts w:ascii="Arial" w:hAnsi="Arial" w:cs="Arial"/>
          <w:i/>
          <w:iCs/>
          <w:sz w:val="20"/>
          <w:szCs w:val="20"/>
          <w:lang w:val="pt-PT"/>
        </w:rPr>
        <w:t>baseadas em</w:t>
      </w:r>
      <w:r w:rsidRPr="00E64CD6">
        <w:rPr>
          <w:rStyle w:val="normaltextrun"/>
          <w:rFonts w:ascii="Arial" w:hAnsi="Arial" w:cs="Arial"/>
          <w:i/>
          <w:iCs/>
          <w:sz w:val="20"/>
          <w:szCs w:val="20"/>
          <w:lang w:val="pt-PT"/>
        </w:rPr>
        <w:t xml:space="preserve"> Inteligência Artificial, reforçando a confiança e a resiliência”</w:t>
      </w:r>
      <w:r w:rsidRPr="00E64CD6">
        <w:rPr>
          <w:rStyle w:val="normaltextrun"/>
          <w:rFonts w:ascii="Arial" w:hAnsi="Arial" w:cs="Arial"/>
          <w:sz w:val="20"/>
          <w:szCs w:val="20"/>
          <w:lang w:val="pt-PT"/>
        </w:rPr>
        <w:t xml:space="preserve">, afirma </w:t>
      </w:r>
      <w:r w:rsidRPr="00E64CD6">
        <w:rPr>
          <w:rStyle w:val="normaltextrun"/>
          <w:rFonts w:ascii="Arial" w:hAnsi="Arial" w:cs="Arial"/>
          <w:b/>
          <w:bCs/>
          <w:sz w:val="20"/>
          <w:szCs w:val="20"/>
          <w:lang w:val="pt-PT"/>
        </w:rPr>
        <w:t xml:space="preserve">Bruno Abril, Global </w:t>
      </w:r>
      <w:proofErr w:type="spellStart"/>
      <w:r w:rsidRPr="00E64CD6">
        <w:rPr>
          <w:rStyle w:val="normaltextrun"/>
          <w:rFonts w:ascii="Arial" w:hAnsi="Arial" w:cs="Arial"/>
          <w:b/>
          <w:bCs/>
          <w:sz w:val="20"/>
          <w:szCs w:val="20"/>
          <w:lang w:val="pt-PT"/>
        </w:rPr>
        <w:t>Head</w:t>
      </w:r>
      <w:proofErr w:type="spellEnd"/>
      <w:r w:rsidRPr="00E64CD6">
        <w:rPr>
          <w:rStyle w:val="normaltextrun"/>
          <w:rFonts w:ascii="Arial" w:hAnsi="Arial" w:cs="Arial"/>
          <w:b/>
          <w:bCs/>
          <w:sz w:val="20"/>
          <w:szCs w:val="20"/>
          <w:lang w:val="pt-PT"/>
        </w:rPr>
        <w:t xml:space="preserve"> </w:t>
      </w:r>
      <w:proofErr w:type="spellStart"/>
      <w:r w:rsidRPr="00E64CD6">
        <w:rPr>
          <w:rStyle w:val="normaltextrun"/>
          <w:rFonts w:ascii="Arial" w:hAnsi="Arial" w:cs="Arial"/>
          <w:b/>
          <w:bCs/>
          <w:sz w:val="20"/>
          <w:szCs w:val="20"/>
          <w:lang w:val="pt-PT"/>
        </w:rPr>
        <w:t>of</w:t>
      </w:r>
      <w:proofErr w:type="spellEnd"/>
      <w:r w:rsidRPr="00E64CD6">
        <w:rPr>
          <w:rStyle w:val="normaltextrun"/>
          <w:rFonts w:ascii="Arial" w:hAnsi="Arial" w:cs="Arial"/>
          <w:b/>
          <w:bCs/>
          <w:sz w:val="20"/>
          <w:szCs w:val="20"/>
          <w:lang w:val="pt-PT"/>
        </w:rPr>
        <w:t xml:space="preserve"> </w:t>
      </w:r>
      <w:proofErr w:type="spellStart"/>
      <w:r w:rsidRPr="00E64CD6">
        <w:rPr>
          <w:rStyle w:val="normaltextrun"/>
          <w:rFonts w:ascii="Arial" w:hAnsi="Arial" w:cs="Arial"/>
          <w:b/>
          <w:bCs/>
          <w:sz w:val="20"/>
          <w:szCs w:val="20"/>
          <w:lang w:val="pt-PT"/>
        </w:rPr>
        <w:t>Insurance</w:t>
      </w:r>
      <w:proofErr w:type="spellEnd"/>
      <w:r w:rsidRPr="00E64CD6">
        <w:rPr>
          <w:rStyle w:val="normaltextrun"/>
          <w:rFonts w:ascii="Arial" w:hAnsi="Arial" w:cs="Arial"/>
          <w:b/>
          <w:bCs/>
          <w:sz w:val="20"/>
          <w:szCs w:val="20"/>
          <w:lang w:val="pt-PT"/>
        </w:rPr>
        <w:t xml:space="preserve"> da NTT DATA, Inc</w:t>
      </w:r>
      <w:r w:rsidRPr="00E64CD6">
        <w:rPr>
          <w:rStyle w:val="normaltextrun"/>
          <w:rFonts w:ascii="Arial" w:hAnsi="Arial" w:cs="Arial"/>
          <w:sz w:val="20"/>
          <w:szCs w:val="20"/>
          <w:lang w:val="pt-PT"/>
        </w:rPr>
        <w:t xml:space="preserve">. </w:t>
      </w:r>
      <w:r w:rsidRPr="00E64CD6">
        <w:rPr>
          <w:rStyle w:val="normaltextrun"/>
          <w:rFonts w:ascii="Arial" w:hAnsi="Arial" w:cs="Arial"/>
          <w:i/>
          <w:iCs/>
          <w:sz w:val="20"/>
          <w:szCs w:val="20"/>
          <w:lang w:val="pt-PT"/>
        </w:rPr>
        <w:t>“Neste relatório, identificamos as principais mudanças que estão a moldar o setor segurador em 2026 e traduzimo-las em prioridades de ação concretas, capazes de ajudar as seguradoras a criar valor a longo prazo para os seus negócios, os seus clientes e a sociedade.”</w:t>
      </w:r>
    </w:p>
    <w:p w14:paraId="5EDC5D0A" w14:textId="77777777" w:rsidR="00C458AF" w:rsidRPr="00DE4DC5" w:rsidRDefault="00C458AF" w:rsidP="00DE4DC5">
      <w:pPr>
        <w:pStyle w:val="paragraph"/>
        <w:spacing w:before="0" w:beforeAutospacing="0" w:after="0" w:afterAutospacing="0"/>
        <w:jc w:val="both"/>
        <w:textAlignment w:val="baseline"/>
        <w:rPr>
          <w:rFonts w:ascii="Arial" w:hAnsi="Arial" w:cs="Arial"/>
          <w:sz w:val="20"/>
          <w:szCs w:val="20"/>
          <w:lang w:val="pt-PT"/>
        </w:rPr>
      </w:pPr>
    </w:p>
    <w:p w14:paraId="6B3B431E" w14:textId="0A667DF3" w:rsidR="00C458AF" w:rsidRPr="00E64CD6" w:rsidRDefault="00E64CD6" w:rsidP="00DE4DC5">
      <w:pPr>
        <w:pStyle w:val="paragraph"/>
        <w:spacing w:before="0" w:beforeAutospacing="0" w:after="0" w:afterAutospacing="0"/>
        <w:jc w:val="both"/>
        <w:textAlignment w:val="baseline"/>
        <w:rPr>
          <w:rFonts w:ascii="Arial" w:hAnsi="Arial" w:cs="Arial"/>
          <w:sz w:val="20"/>
          <w:szCs w:val="20"/>
          <w:lang w:val="pt-PT"/>
        </w:rPr>
      </w:pPr>
      <w:r w:rsidRPr="00E64CD6">
        <w:rPr>
          <w:rFonts w:ascii="Arial" w:hAnsi="Arial" w:cs="Arial"/>
          <w:b/>
          <w:bCs/>
          <w:sz w:val="20"/>
          <w:szCs w:val="20"/>
          <w:lang w:val="pt-PT"/>
        </w:rPr>
        <w:t xml:space="preserve">Nuno Albuquerque e Castro, </w:t>
      </w:r>
      <w:proofErr w:type="spellStart"/>
      <w:r w:rsidRPr="00E64CD6">
        <w:rPr>
          <w:rFonts w:ascii="Arial" w:hAnsi="Arial" w:cs="Arial"/>
          <w:b/>
          <w:bCs/>
          <w:sz w:val="20"/>
          <w:szCs w:val="20"/>
          <w:lang w:val="pt-PT"/>
        </w:rPr>
        <w:t>Head</w:t>
      </w:r>
      <w:proofErr w:type="spellEnd"/>
      <w:r w:rsidRPr="00E64CD6">
        <w:rPr>
          <w:rFonts w:ascii="Arial" w:hAnsi="Arial" w:cs="Arial"/>
          <w:b/>
          <w:bCs/>
          <w:sz w:val="20"/>
          <w:szCs w:val="20"/>
          <w:lang w:val="pt-PT"/>
        </w:rPr>
        <w:t xml:space="preserve"> </w:t>
      </w:r>
      <w:proofErr w:type="spellStart"/>
      <w:r w:rsidRPr="00E64CD6">
        <w:rPr>
          <w:rFonts w:ascii="Arial" w:hAnsi="Arial" w:cs="Arial"/>
          <w:b/>
          <w:bCs/>
          <w:sz w:val="20"/>
          <w:szCs w:val="20"/>
          <w:lang w:val="pt-PT"/>
        </w:rPr>
        <w:t>of</w:t>
      </w:r>
      <w:proofErr w:type="spellEnd"/>
      <w:r w:rsidRPr="00E64CD6">
        <w:rPr>
          <w:rFonts w:ascii="Arial" w:hAnsi="Arial" w:cs="Arial"/>
          <w:b/>
          <w:bCs/>
          <w:sz w:val="20"/>
          <w:szCs w:val="20"/>
          <w:lang w:val="pt-PT"/>
        </w:rPr>
        <w:t xml:space="preserve"> </w:t>
      </w:r>
      <w:proofErr w:type="spellStart"/>
      <w:r w:rsidRPr="00E64CD6">
        <w:rPr>
          <w:rFonts w:ascii="Arial" w:hAnsi="Arial" w:cs="Arial"/>
          <w:b/>
          <w:bCs/>
          <w:sz w:val="20"/>
          <w:szCs w:val="20"/>
          <w:lang w:val="pt-PT"/>
        </w:rPr>
        <w:t>Insurance</w:t>
      </w:r>
      <w:proofErr w:type="spellEnd"/>
      <w:r w:rsidRPr="00E64CD6">
        <w:rPr>
          <w:rFonts w:ascii="Arial" w:hAnsi="Arial" w:cs="Arial"/>
          <w:b/>
          <w:bCs/>
          <w:sz w:val="20"/>
          <w:szCs w:val="20"/>
          <w:lang w:val="pt-PT"/>
        </w:rPr>
        <w:t xml:space="preserve"> da NTT DATA Portugal,</w:t>
      </w:r>
      <w:r>
        <w:rPr>
          <w:rFonts w:ascii="Arial" w:hAnsi="Arial" w:cs="Arial"/>
          <w:sz w:val="20"/>
          <w:szCs w:val="20"/>
          <w:lang w:val="pt-PT"/>
        </w:rPr>
        <w:t xml:space="preserve"> acrescenta que </w:t>
      </w:r>
      <w:r w:rsidRPr="00E64CD6">
        <w:rPr>
          <w:rFonts w:ascii="Arial" w:hAnsi="Arial" w:cs="Arial"/>
          <w:sz w:val="20"/>
          <w:szCs w:val="20"/>
          <w:lang w:val="pt-PT"/>
        </w:rPr>
        <w:t>“</w:t>
      </w:r>
      <w:r w:rsidRPr="00E64CD6">
        <w:rPr>
          <w:rFonts w:ascii="Arial" w:hAnsi="Arial" w:cs="Arial"/>
          <w:i/>
          <w:iCs/>
          <w:sz w:val="20"/>
          <w:szCs w:val="20"/>
          <w:lang w:val="pt-PT"/>
        </w:rPr>
        <w:t>num contexto de crescente volatilidade e exigência regulatória, as seguradoras precisam de reforçar a sua capacidade de antecipar e prevenir riscos. A Inteligência Artificial será um acelerador fundamental desta transformação, permitindo aumentar a eficiência operacional e criar experiências mais personalizadas, desde que seja implementada com confiança, transparência e responsabilidade.”</w:t>
      </w:r>
    </w:p>
    <w:p w14:paraId="13304304" w14:textId="77777777" w:rsidR="00E64CD6" w:rsidRDefault="00E64CD6" w:rsidP="00DE4DC5">
      <w:pPr>
        <w:pStyle w:val="paragraph"/>
        <w:spacing w:before="0" w:beforeAutospacing="0" w:after="0" w:afterAutospacing="0"/>
        <w:jc w:val="both"/>
        <w:textAlignment w:val="baseline"/>
        <w:rPr>
          <w:rFonts w:ascii="Arial" w:hAnsi="Arial" w:cs="Arial"/>
          <w:sz w:val="20"/>
          <w:szCs w:val="20"/>
          <w:lang w:val="pt-PT"/>
        </w:rPr>
      </w:pPr>
    </w:p>
    <w:p w14:paraId="1A439522" w14:textId="77777777" w:rsidR="00E64CD6" w:rsidRPr="0014202E" w:rsidRDefault="00E64CD6" w:rsidP="00DE4DC5">
      <w:pPr>
        <w:pStyle w:val="paragraph"/>
        <w:spacing w:before="0" w:beforeAutospacing="0" w:after="0" w:afterAutospacing="0"/>
        <w:jc w:val="both"/>
        <w:textAlignment w:val="baseline"/>
        <w:rPr>
          <w:rFonts w:ascii="Arial" w:hAnsi="Arial" w:cs="Arial"/>
          <w:sz w:val="20"/>
          <w:szCs w:val="20"/>
          <w:lang w:val="pt-PT"/>
        </w:rPr>
      </w:pPr>
    </w:p>
    <w:p w14:paraId="19390701" w14:textId="77777777" w:rsidR="00C458AF" w:rsidRPr="0014202E" w:rsidRDefault="00C458AF" w:rsidP="00DE4DC5">
      <w:pPr>
        <w:pStyle w:val="paragraph"/>
        <w:spacing w:before="0" w:beforeAutospacing="0" w:after="0" w:afterAutospacing="0"/>
        <w:jc w:val="both"/>
        <w:textAlignment w:val="baseline"/>
        <w:rPr>
          <w:rFonts w:ascii="Arial" w:hAnsi="Arial" w:cs="Arial"/>
          <w:b/>
          <w:bCs/>
          <w:sz w:val="20"/>
          <w:szCs w:val="20"/>
          <w:lang w:val="pt-PT"/>
        </w:rPr>
      </w:pPr>
      <w:r w:rsidRPr="0014202E">
        <w:rPr>
          <w:rFonts w:ascii="Arial" w:hAnsi="Arial" w:cs="Arial"/>
          <w:b/>
          <w:bCs/>
          <w:sz w:val="20"/>
          <w:szCs w:val="20"/>
          <w:lang w:val="pt-PT"/>
        </w:rPr>
        <w:t>Sobre o relatório</w:t>
      </w:r>
    </w:p>
    <w:p w14:paraId="3BCE76AC" w14:textId="06EAA6D3" w:rsidR="00C458AF" w:rsidRPr="0014202E" w:rsidRDefault="00C458AF"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sz w:val="20"/>
          <w:szCs w:val="20"/>
          <w:lang w:val="pt-PT"/>
        </w:rPr>
        <w:t xml:space="preserve">O </w:t>
      </w:r>
      <w:proofErr w:type="spellStart"/>
      <w:r w:rsidRPr="0014202E">
        <w:rPr>
          <w:rFonts w:ascii="Arial" w:hAnsi="Arial" w:cs="Arial"/>
          <w:i/>
          <w:iCs/>
          <w:sz w:val="20"/>
          <w:szCs w:val="20"/>
          <w:lang w:val="pt-PT"/>
        </w:rPr>
        <w:t>Insurtech</w:t>
      </w:r>
      <w:proofErr w:type="spellEnd"/>
      <w:r w:rsidRPr="0014202E">
        <w:rPr>
          <w:rFonts w:ascii="Arial" w:hAnsi="Arial" w:cs="Arial"/>
          <w:i/>
          <w:iCs/>
          <w:sz w:val="20"/>
          <w:szCs w:val="20"/>
          <w:lang w:val="pt-PT"/>
        </w:rPr>
        <w:t xml:space="preserve"> Global Outlook 2026</w:t>
      </w:r>
      <w:r w:rsidRPr="0014202E">
        <w:rPr>
          <w:rFonts w:ascii="Arial" w:hAnsi="Arial" w:cs="Arial"/>
          <w:sz w:val="20"/>
          <w:szCs w:val="20"/>
          <w:lang w:val="pt-PT"/>
        </w:rPr>
        <w:t xml:space="preserve"> baseia-se na análise de dados do setor, tendências de mercado e indicadores de risco provenientes de fontes globais de referência, incluindo </w:t>
      </w:r>
      <w:r w:rsidR="00E64CD6">
        <w:rPr>
          <w:rFonts w:ascii="Arial" w:hAnsi="Arial" w:cs="Arial"/>
          <w:sz w:val="20"/>
          <w:szCs w:val="20"/>
          <w:lang w:val="pt-PT"/>
        </w:rPr>
        <w:t>informações divulgadas por</w:t>
      </w:r>
      <w:r w:rsidRPr="0014202E">
        <w:rPr>
          <w:rFonts w:ascii="Arial" w:hAnsi="Arial" w:cs="Arial"/>
          <w:sz w:val="20"/>
          <w:szCs w:val="20"/>
          <w:lang w:val="pt-PT"/>
        </w:rPr>
        <w:t xml:space="preserve"> seguradoras, estudos de entidades terceiras e insights da NTT DATA, </w:t>
      </w:r>
      <w:r w:rsidR="00B651A0">
        <w:rPr>
          <w:rFonts w:ascii="Arial" w:hAnsi="Arial" w:cs="Arial"/>
          <w:sz w:val="20"/>
          <w:szCs w:val="20"/>
          <w:lang w:val="pt-PT"/>
        </w:rPr>
        <w:t>no</w:t>
      </w:r>
      <w:r w:rsidRPr="0014202E">
        <w:rPr>
          <w:rFonts w:ascii="Arial" w:hAnsi="Arial" w:cs="Arial"/>
          <w:sz w:val="20"/>
          <w:szCs w:val="20"/>
          <w:lang w:val="pt-PT"/>
        </w:rPr>
        <w:t xml:space="preserve"> período entre 2023 e 2025.</w:t>
      </w:r>
    </w:p>
    <w:p w14:paraId="3D822931" w14:textId="77777777" w:rsidR="00C458AF" w:rsidRPr="0014202E" w:rsidRDefault="00C458AF" w:rsidP="00DE4DC5">
      <w:pPr>
        <w:pStyle w:val="paragraph"/>
        <w:spacing w:before="0" w:beforeAutospacing="0" w:after="0" w:afterAutospacing="0"/>
        <w:jc w:val="both"/>
        <w:textAlignment w:val="baseline"/>
        <w:rPr>
          <w:rFonts w:ascii="Arial" w:hAnsi="Arial" w:cs="Arial"/>
          <w:sz w:val="20"/>
          <w:szCs w:val="20"/>
          <w:lang w:val="pt-PT"/>
        </w:rPr>
      </w:pPr>
    </w:p>
    <w:p w14:paraId="0CED9AAC" w14:textId="77777777" w:rsidR="0014202E" w:rsidRPr="0014202E" w:rsidRDefault="0014202E" w:rsidP="00DE4DC5">
      <w:pPr>
        <w:pStyle w:val="paragraph"/>
        <w:spacing w:before="0" w:beforeAutospacing="0" w:after="0" w:afterAutospacing="0"/>
        <w:jc w:val="both"/>
        <w:textAlignment w:val="baseline"/>
        <w:rPr>
          <w:rFonts w:ascii="Arial" w:hAnsi="Arial" w:cs="Arial"/>
          <w:sz w:val="20"/>
          <w:szCs w:val="20"/>
          <w:lang w:val="pt-PT"/>
        </w:rPr>
      </w:pPr>
    </w:p>
    <w:p w14:paraId="3D789B27" w14:textId="51B13210" w:rsidR="00AD058B" w:rsidRPr="0014202E" w:rsidRDefault="00C458AF" w:rsidP="00DE4DC5">
      <w:pPr>
        <w:pStyle w:val="paragraph"/>
        <w:spacing w:before="0" w:beforeAutospacing="0" w:after="0" w:afterAutospacing="0"/>
        <w:jc w:val="both"/>
        <w:textAlignment w:val="baseline"/>
        <w:rPr>
          <w:rFonts w:ascii="Arial" w:hAnsi="Arial" w:cs="Arial"/>
          <w:sz w:val="20"/>
          <w:szCs w:val="20"/>
          <w:lang w:val="pt-PT"/>
        </w:rPr>
      </w:pPr>
      <w:r w:rsidRPr="0014202E">
        <w:rPr>
          <w:rFonts w:ascii="Arial" w:hAnsi="Arial" w:cs="Arial"/>
          <w:b/>
          <w:bCs/>
          <w:sz w:val="20"/>
          <w:szCs w:val="20"/>
          <w:lang w:val="pt-PT"/>
        </w:rPr>
        <w:t>Para consultar o relatório completo, aceda a:</w:t>
      </w:r>
      <w:r w:rsidRPr="0014202E">
        <w:rPr>
          <w:rFonts w:ascii="Arial" w:hAnsi="Arial" w:cs="Arial"/>
          <w:sz w:val="20"/>
          <w:szCs w:val="20"/>
          <w:lang w:val="pt-PT"/>
        </w:rPr>
        <w:t xml:space="preserve"> </w:t>
      </w:r>
      <w:hyperlink r:id="rId11" w:history="1">
        <w:proofErr w:type="spellStart"/>
        <w:r w:rsidR="0063422B" w:rsidRPr="0014202E">
          <w:rPr>
            <w:rStyle w:val="Hiperligao"/>
            <w:rFonts w:ascii="Arial" w:eastAsiaTheme="majorEastAsia" w:hAnsi="Arial" w:cs="Arial"/>
            <w:sz w:val="20"/>
            <w:szCs w:val="20"/>
            <w:lang w:val="pt-PT" w:eastAsia="ja-JP"/>
          </w:rPr>
          <w:t>Insurtech</w:t>
        </w:r>
        <w:proofErr w:type="spellEnd"/>
        <w:r w:rsidR="0063422B" w:rsidRPr="0014202E">
          <w:rPr>
            <w:rStyle w:val="Hiperligao"/>
            <w:rFonts w:ascii="Arial" w:eastAsiaTheme="majorEastAsia" w:hAnsi="Arial" w:cs="Arial"/>
            <w:sz w:val="20"/>
            <w:szCs w:val="20"/>
            <w:lang w:val="pt-PT" w:eastAsia="ja-JP"/>
          </w:rPr>
          <w:t xml:space="preserve"> Global Outlook</w:t>
        </w:r>
      </w:hyperlink>
      <w:r w:rsidR="0063422B" w:rsidRPr="0014202E">
        <w:rPr>
          <w:rFonts w:ascii="Arial" w:eastAsiaTheme="majorEastAsia" w:hAnsi="Arial" w:cs="Arial"/>
          <w:sz w:val="20"/>
          <w:szCs w:val="20"/>
          <w:lang w:val="pt-PT" w:eastAsia="ja-JP"/>
        </w:rPr>
        <w:t xml:space="preserve"> </w:t>
      </w:r>
    </w:p>
    <w:p w14:paraId="56E4FD1C" w14:textId="1CDDC77D" w:rsidR="00AD058B" w:rsidRPr="0014202E" w:rsidRDefault="00AD058B" w:rsidP="00DE4DC5">
      <w:pPr>
        <w:pStyle w:val="paragraph"/>
        <w:spacing w:before="0" w:beforeAutospacing="0" w:after="0" w:afterAutospacing="0"/>
        <w:jc w:val="both"/>
        <w:textAlignment w:val="baseline"/>
        <w:rPr>
          <w:rFonts w:ascii="Arial" w:hAnsi="Arial" w:cs="Arial"/>
          <w:sz w:val="20"/>
          <w:szCs w:val="20"/>
          <w:lang w:val="pt-PT"/>
        </w:rPr>
      </w:pPr>
    </w:p>
    <w:p w14:paraId="05914F22" w14:textId="7F1C8995" w:rsidR="00AD058B" w:rsidRPr="0014202E" w:rsidRDefault="00AD058B" w:rsidP="00DE4DC5">
      <w:pPr>
        <w:pStyle w:val="paragraph"/>
        <w:spacing w:before="0" w:beforeAutospacing="0" w:after="0" w:afterAutospacing="0"/>
        <w:jc w:val="both"/>
        <w:textAlignment w:val="baseline"/>
        <w:rPr>
          <w:rFonts w:ascii="Arial" w:hAnsi="Arial" w:cs="Arial"/>
          <w:sz w:val="20"/>
          <w:szCs w:val="20"/>
          <w:lang w:val="pt-PT"/>
        </w:rPr>
      </w:pPr>
    </w:p>
    <w:p w14:paraId="24507A54" w14:textId="77777777" w:rsidR="0014202E" w:rsidRPr="00DE4DC5" w:rsidRDefault="0014202E" w:rsidP="00DE4DC5">
      <w:pPr>
        <w:pStyle w:val="paragraph"/>
        <w:spacing w:before="0" w:beforeAutospacing="0" w:after="0" w:afterAutospacing="0"/>
        <w:jc w:val="both"/>
        <w:textAlignment w:val="baseline"/>
        <w:rPr>
          <w:rFonts w:ascii="Arial" w:hAnsi="Arial" w:cs="Arial"/>
          <w:sz w:val="20"/>
          <w:szCs w:val="20"/>
          <w:lang w:val="pt-PT"/>
        </w:rPr>
      </w:pPr>
    </w:p>
    <w:p w14:paraId="5606851D" w14:textId="77777777" w:rsidR="001863C0" w:rsidRPr="000734D7" w:rsidRDefault="001863C0" w:rsidP="001863C0">
      <w:pPr>
        <w:spacing w:after="0"/>
        <w:rPr>
          <w:rFonts w:ascii="Arial" w:hAnsi="Arial" w:cs="Arial"/>
          <w:sz w:val="18"/>
          <w:szCs w:val="18"/>
          <w:lang w:val="pt-PT"/>
        </w:rPr>
      </w:pPr>
      <w:r w:rsidRPr="000734D7">
        <w:rPr>
          <w:rFonts w:ascii="Arial" w:hAnsi="Arial" w:cs="Arial"/>
          <w:b/>
          <w:sz w:val="18"/>
          <w:szCs w:val="18"/>
          <w:lang w:val="pt-PT"/>
        </w:rPr>
        <w:t>Para mais informações, favor contactar</w:t>
      </w:r>
      <w:r w:rsidRPr="000734D7">
        <w:rPr>
          <w:rFonts w:ascii="Arial" w:hAnsi="Arial" w:cs="Arial"/>
          <w:sz w:val="18"/>
          <w:szCs w:val="18"/>
          <w:lang w:val="pt-PT"/>
        </w:rPr>
        <w:t>:</w:t>
      </w:r>
    </w:p>
    <w:p w14:paraId="532D985A" w14:textId="77777777" w:rsidR="001863C0" w:rsidRPr="000734D7" w:rsidRDefault="001863C0" w:rsidP="001863C0">
      <w:pPr>
        <w:spacing w:after="0"/>
        <w:rPr>
          <w:rFonts w:ascii="Arial" w:hAnsi="Arial" w:cs="Arial"/>
          <w:b/>
          <w:bCs/>
          <w:sz w:val="18"/>
          <w:szCs w:val="18"/>
          <w:lang w:val="pt-PT"/>
        </w:rPr>
      </w:pPr>
      <w:r w:rsidRPr="000734D7">
        <w:rPr>
          <w:rFonts w:ascii="Arial" w:hAnsi="Arial" w:cs="Arial"/>
          <w:b/>
          <w:bCs/>
          <w:sz w:val="18"/>
          <w:szCs w:val="18"/>
          <w:lang w:val="pt-PT"/>
        </w:rPr>
        <w:t>LIFT CONSULTING</w:t>
      </w:r>
    </w:p>
    <w:p w14:paraId="173AA757" w14:textId="77777777" w:rsidR="001863C0" w:rsidRPr="000734D7" w:rsidRDefault="001863C0" w:rsidP="001863C0">
      <w:pPr>
        <w:pStyle w:val="NormalWeb"/>
        <w:spacing w:before="0" w:beforeAutospacing="0" w:after="0" w:afterAutospacing="0"/>
        <w:rPr>
          <w:rFonts w:ascii="Arial" w:hAnsi="Arial" w:cs="Arial"/>
          <w:sz w:val="18"/>
          <w:szCs w:val="18"/>
        </w:rPr>
      </w:pPr>
      <w:r w:rsidRPr="000734D7">
        <w:rPr>
          <w:rFonts w:ascii="Arial" w:hAnsi="Arial" w:cs="Arial"/>
          <w:sz w:val="18"/>
          <w:szCs w:val="18"/>
        </w:rPr>
        <w:t>Ana Santos | </w:t>
      </w:r>
      <w:hyperlink r:id="rId12" w:tgtFrame="_blank" w:tooltip="mailto:ana.santos@lift.com.pt" w:history="1">
        <w:r w:rsidRPr="000734D7">
          <w:rPr>
            <w:rStyle w:val="Hiperligao"/>
            <w:rFonts w:ascii="Arial" w:eastAsiaTheme="majorEastAsia" w:hAnsi="Arial" w:cs="Arial"/>
            <w:sz w:val="18"/>
            <w:szCs w:val="18"/>
          </w:rPr>
          <w:t>ana.santos@lift.com.pt</w:t>
        </w:r>
      </w:hyperlink>
      <w:r w:rsidRPr="000734D7">
        <w:rPr>
          <w:rFonts w:ascii="Arial" w:hAnsi="Arial" w:cs="Arial"/>
          <w:sz w:val="18"/>
          <w:szCs w:val="18"/>
        </w:rPr>
        <w:t xml:space="preserve"> | 914 409 595</w:t>
      </w:r>
    </w:p>
    <w:p w14:paraId="403264A3" w14:textId="77777777" w:rsidR="001863C0" w:rsidRPr="000734D7" w:rsidRDefault="001863C0" w:rsidP="001863C0">
      <w:pPr>
        <w:tabs>
          <w:tab w:val="left" w:pos="0"/>
        </w:tabs>
        <w:spacing w:after="0" w:line="360" w:lineRule="auto"/>
        <w:rPr>
          <w:rFonts w:ascii="Arial" w:hAnsi="Arial" w:cs="Arial"/>
          <w:sz w:val="18"/>
          <w:szCs w:val="18"/>
          <w:lang w:val="pt-PT"/>
        </w:rPr>
      </w:pPr>
      <w:r w:rsidRPr="000734D7">
        <w:rPr>
          <w:rFonts w:ascii="Arial" w:hAnsi="Arial" w:cs="Arial"/>
          <w:sz w:val="18"/>
          <w:szCs w:val="18"/>
          <w:lang w:val="pt-PT"/>
        </w:rPr>
        <w:t xml:space="preserve">Erica Macieira | </w:t>
      </w:r>
      <w:hyperlink r:id="rId13" w:history="1">
        <w:r w:rsidRPr="000734D7">
          <w:rPr>
            <w:rStyle w:val="Hiperligao"/>
            <w:rFonts w:ascii="Arial" w:hAnsi="Arial" w:cs="Arial"/>
            <w:sz w:val="18"/>
            <w:szCs w:val="18"/>
            <w:lang w:val="pt-PT"/>
          </w:rPr>
          <w:t>erica.macieira@lift.com.pt</w:t>
        </w:r>
      </w:hyperlink>
      <w:r w:rsidRPr="000734D7">
        <w:rPr>
          <w:rFonts w:ascii="Arial" w:hAnsi="Arial" w:cs="Arial"/>
          <w:sz w:val="18"/>
          <w:szCs w:val="18"/>
          <w:lang w:val="pt-PT"/>
        </w:rPr>
        <w:t xml:space="preserve"> | 910 549 515</w:t>
      </w:r>
    </w:p>
    <w:p w14:paraId="684B853F" w14:textId="77777777" w:rsidR="001863C0" w:rsidRPr="000734D7" w:rsidRDefault="001863C0" w:rsidP="001863C0">
      <w:pPr>
        <w:pStyle w:val="NormalWeb"/>
        <w:spacing w:before="0" w:beforeAutospacing="0" w:after="0" w:afterAutospacing="0"/>
        <w:rPr>
          <w:rFonts w:ascii="Arial" w:hAnsi="Arial" w:cs="Arial"/>
          <w:sz w:val="18"/>
          <w:szCs w:val="18"/>
        </w:rPr>
      </w:pPr>
    </w:p>
    <w:p w14:paraId="3443BF65" w14:textId="77777777" w:rsidR="001863C0" w:rsidRPr="000734D7" w:rsidRDefault="001863C0" w:rsidP="001863C0">
      <w:pPr>
        <w:rPr>
          <w:rFonts w:ascii="Arial" w:hAnsi="Arial" w:cs="Arial"/>
          <w:sz w:val="16"/>
          <w:szCs w:val="16"/>
          <w:lang w:val="pt-PT"/>
        </w:rPr>
      </w:pPr>
    </w:p>
    <w:p w14:paraId="261242AF" w14:textId="77777777" w:rsidR="001863C0" w:rsidRPr="00264CB4" w:rsidRDefault="001863C0" w:rsidP="001863C0">
      <w:pPr>
        <w:rPr>
          <w:rFonts w:ascii="Arial" w:hAnsi="Arial" w:cs="Arial"/>
          <w:sz w:val="16"/>
          <w:szCs w:val="16"/>
          <w:lang w:val="pt-PT"/>
        </w:rPr>
      </w:pPr>
      <w:r w:rsidRPr="00DA7D47">
        <w:rPr>
          <w:rFonts w:ascii="Arial" w:hAnsi="Arial" w:cs="Arial"/>
          <w:b/>
          <w:bCs/>
          <w:sz w:val="16"/>
          <w:szCs w:val="16"/>
          <w:lang w:val="pt-BR"/>
        </w:rPr>
        <w:t>Sobre a NTT DATA</w:t>
      </w:r>
    </w:p>
    <w:p w14:paraId="259507DF" w14:textId="77777777" w:rsidR="001863C0" w:rsidRPr="00DA7D47" w:rsidRDefault="001863C0" w:rsidP="001863C0">
      <w:pPr>
        <w:jc w:val="both"/>
        <w:rPr>
          <w:rFonts w:ascii="Arial" w:hAnsi="Arial" w:cs="Arial"/>
          <w:sz w:val="16"/>
          <w:szCs w:val="16"/>
          <w:lang w:val="pt-BR"/>
        </w:rPr>
      </w:pPr>
      <w:r w:rsidRPr="00DA7D47">
        <w:rPr>
          <w:rFonts w:ascii="Arial" w:hAnsi="Arial" w:cs="Arial"/>
          <w:sz w:val="16"/>
          <w:szCs w:val="16"/>
          <w:lang w:val="pt-BR"/>
        </w:rPr>
        <w:t>A NTT DATA é uma empresa líder em serviços de negócio e tecnologia, com receitas superiores a 30 mil milhões de dólares, que trabalha para 75% das empresas do Fortune Global 100. Está empenhada em acelerar o sucesso dos clientes e em gerar um impacto positivo na sociedade através da inovação responsável. É um dos principais fornecedores mundiais de inteligência artificial e infraestruturas digitais, com capacidades incomparáveis em IA à escala empresarial, cloud, segurança, conectividade, centros de dados e serviços de aplicações. Os seus serviços de consultoria e soluções sectoriais ajudam as organizações e a sociedade a avançar com confiança e de forma sustentável rumo ao futuro digital. Como Global Top Employer, conta com especialistas em mais de 70 países. Oferece ainda aos seus clientes acesso a um sólido ecossistema de centros de inovação, bem como a parceiros estabelecidos e startups. A NTT DATA faz parte do NTT Group, que investe mais de 3 mil milhões de dólares por ano em investigação e desenvolvimento (I&amp;D).  </w:t>
      </w:r>
    </w:p>
    <w:p w14:paraId="63E7D8C1" w14:textId="32136F18" w:rsidR="009D673C" w:rsidRPr="001863C0" w:rsidRDefault="009D673C" w:rsidP="0063422B">
      <w:pPr>
        <w:spacing w:after="0" w:line="240" w:lineRule="auto"/>
        <w:textAlignment w:val="baseline"/>
        <w:rPr>
          <w:rFonts w:ascii="Arial" w:hAnsi="Arial" w:cs="Arial"/>
          <w:sz w:val="20"/>
          <w:szCs w:val="20"/>
          <w:lang w:val="pt-BR"/>
        </w:rPr>
      </w:pPr>
    </w:p>
    <w:sectPr w:rsidR="009D673C" w:rsidRPr="001863C0" w:rsidSect="0014202E">
      <w:headerReference w:type="default" r:id="rId14"/>
      <w:footerReference w:type="even" r:id="rId15"/>
      <w:footerReference w:type="defaul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5643" w14:textId="77777777" w:rsidR="0052151A" w:rsidRDefault="0052151A" w:rsidP="009D673C">
      <w:pPr>
        <w:spacing w:after="0" w:line="240" w:lineRule="auto"/>
      </w:pPr>
      <w:r>
        <w:separator/>
      </w:r>
    </w:p>
  </w:endnote>
  <w:endnote w:type="continuationSeparator" w:id="0">
    <w:p w14:paraId="4DF6CC5C" w14:textId="77777777" w:rsidR="0052151A" w:rsidRDefault="0052151A" w:rsidP="009D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6A1A" w14:textId="78AC85DC" w:rsidR="00F14908" w:rsidRDefault="00F14908">
    <w:pPr>
      <w:pStyle w:val="Rodap"/>
    </w:pPr>
    <w:r>
      <w:rPr>
        <w:noProof/>
      </w:rPr>
      <mc:AlternateContent>
        <mc:Choice Requires="wps">
          <w:drawing>
            <wp:anchor distT="0" distB="0" distL="0" distR="0" simplePos="0" relativeHeight="251658242" behindDoc="0" locked="0" layoutInCell="1" allowOverlap="1" wp14:anchorId="0D983F16" wp14:editId="677DDE9D">
              <wp:simplePos x="635" y="635"/>
              <wp:positionH relativeFrom="page">
                <wp:align>center</wp:align>
              </wp:positionH>
              <wp:positionV relativeFrom="page">
                <wp:align>bottom</wp:align>
              </wp:positionV>
              <wp:extent cx="1152525" cy="325755"/>
              <wp:effectExtent l="0" t="0" r="9525" b="0"/>
              <wp:wrapNone/>
              <wp:docPr id="711518129" name="Text Box 2" descr="Sensitivity Lab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25755"/>
                      </a:xfrm>
                      <a:prstGeom prst="rect">
                        <a:avLst/>
                      </a:prstGeom>
                      <a:noFill/>
                      <a:ln>
                        <a:noFill/>
                      </a:ln>
                    </wps:spPr>
                    <wps:txbx>
                      <w:txbxContent>
                        <w:p w14:paraId="0CFC17F3" w14:textId="3E2F7695" w:rsidR="00F14908" w:rsidRPr="00F14908" w:rsidRDefault="00F14908" w:rsidP="00F14908">
                          <w:pPr>
                            <w:spacing w:after="0"/>
                            <w:rPr>
                              <w:rFonts w:ascii="Arial" w:eastAsia="Arial" w:hAnsi="Arial" w:cs="Arial"/>
                              <w:noProof/>
                              <w:color w:val="2E404D"/>
                              <w:sz w:val="16"/>
                              <w:szCs w:val="16"/>
                            </w:rPr>
                          </w:pPr>
                          <w:r w:rsidRPr="00F1490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83F16" id="_x0000_t202" coordsize="21600,21600" o:spt="202" path="m,l,21600r21600,l21600,xe">
              <v:stroke joinstyle="miter"/>
              <v:path gradientshapeok="t" o:connecttype="rect"/>
            </v:shapetype>
            <v:shape id="Text Box 2" o:spid="_x0000_s1026" type="#_x0000_t202" alt="Sensitivity Label: General" style="position:absolute;margin-left:0;margin-top:0;width:90.75pt;height:2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" filled="f" stroked="f">
              <v:textbox style="mso-fit-shape-to-text:t" inset="0,0,0,15pt">
                <w:txbxContent>
                  <w:p w14:paraId="0CFC17F3" w14:textId="3E2F7695" w:rsidR="00F14908" w:rsidRPr="00F14908" w:rsidRDefault="00F14908" w:rsidP="00F14908">
                    <w:pPr>
                      <w:spacing w:after="0"/>
                      <w:rPr>
                        <w:rFonts w:ascii="Arial" w:eastAsia="Arial" w:hAnsi="Arial" w:cs="Arial"/>
                        <w:noProof/>
                        <w:color w:val="2E404D"/>
                        <w:sz w:val="16"/>
                        <w:szCs w:val="16"/>
                      </w:rPr>
                    </w:pPr>
                    <w:r w:rsidRPr="00F1490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A0AD" w14:textId="2F5B85AB" w:rsidR="00F14908" w:rsidRDefault="00F14908">
    <w:pPr>
      <w:pStyle w:val="Rodap"/>
    </w:pPr>
    <w:r>
      <w:rPr>
        <w:noProof/>
      </w:rPr>
      <mc:AlternateContent>
        <mc:Choice Requires="wps">
          <w:drawing>
            <wp:anchor distT="0" distB="0" distL="0" distR="0" simplePos="0" relativeHeight="251658243" behindDoc="0" locked="0" layoutInCell="1" allowOverlap="1" wp14:anchorId="6523B920" wp14:editId="3C4C4C46">
              <wp:simplePos x="914400" y="10058400"/>
              <wp:positionH relativeFrom="page">
                <wp:align>center</wp:align>
              </wp:positionH>
              <wp:positionV relativeFrom="page">
                <wp:align>bottom</wp:align>
              </wp:positionV>
              <wp:extent cx="1152525" cy="325755"/>
              <wp:effectExtent l="0" t="0" r="9525" b="0"/>
              <wp:wrapNone/>
              <wp:docPr id="615217370" name="Text Box 3" descr="Sensitivity Lab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25755"/>
                      </a:xfrm>
                      <a:prstGeom prst="rect">
                        <a:avLst/>
                      </a:prstGeom>
                      <a:noFill/>
                      <a:ln>
                        <a:noFill/>
                      </a:ln>
                    </wps:spPr>
                    <wps:txbx>
                      <w:txbxContent>
                        <w:p w14:paraId="063FD226" w14:textId="596DC1B6" w:rsidR="00F14908" w:rsidRPr="00F14908" w:rsidRDefault="00F14908" w:rsidP="00F14908">
                          <w:pPr>
                            <w:spacing w:after="0"/>
                            <w:rPr>
                              <w:rFonts w:ascii="Arial" w:eastAsia="Arial" w:hAnsi="Arial" w:cs="Arial"/>
                              <w:noProof/>
                              <w:color w:val="2E404D"/>
                              <w:sz w:val="16"/>
                              <w:szCs w:val="16"/>
                            </w:rPr>
                          </w:pPr>
                          <w:r w:rsidRPr="00F1490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3B920" id="_x0000_t202" coordsize="21600,21600" o:spt="202" path="m,l,21600r21600,l21600,xe">
              <v:stroke joinstyle="miter"/>
              <v:path gradientshapeok="t" o:connecttype="rect"/>
            </v:shapetype>
            <v:shape id="Text Box 3" o:spid="_x0000_s1027" type="#_x0000_t202" alt="Sensitivity Label: General" style="position:absolute;margin-left:0;margin-top:0;width:90.75pt;height:2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" filled="f" stroked="f">
              <v:textbox style="mso-fit-shape-to-text:t" inset="0,0,0,15pt">
                <w:txbxContent>
                  <w:p w14:paraId="063FD226" w14:textId="596DC1B6" w:rsidR="00F14908" w:rsidRPr="00F14908" w:rsidRDefault="00F14908" w:rsidP="00F14908">
                    <w:pPr>
                      <w:spacing w:after="0"/>
                      <w:rPr>
                        <w:rFonts w:ascii="Arial" w:eastAsia="Arial" w:hAnsi="Arial" w:cs="Arial"/>
                        <w:noProof/>
                        <w:color w:val="2E404D"/>
                        <w:sz w:val="16"/>
                        <w:szCs w:val="16"/>
                      </w:rPr>
                    </w:pPr>
                    <w:r w:rsidRPr="00F1490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9514" w14:textId="5B757917" w:rsidR="00F14908" w:rsidRDefault="00F14908">
    <w:pPr>
      <w:pStyle w:val="Rodap"/>
    </w:pPr>
    <w:r>
      <w:rPr>
        <w:noProof/>
      </w:rPr>
      <mc:AlternateContent>
        <mc:Choice Requires="wps">
          <w:drawing>
            <wp:anchor distT="0" distB="0" distL="0" distR="0" simplePos="0" relativeHeight="251658241" behindDoc="0" locked="0" layoutInCell="1" allowOverlap="1" wp14:anchorId="44B357AC" wp14:editId="067A8649">
              <wp:simplePos x="635" y="635"/>
              <wp:positionH relativeFrom="page">
                <wp:align>center</wp:align>
              </wp:positionH>
              <wp:positionV relativeFrom="page">
                <wp:align>bottom</wp:align>
              </wp:positionV>
              <wp:extent cx="1152525" cy="325755"/>
              <wp:effectExtent l="0" t="0" r="9525" b="0"/>
              <wp:wrapNone/>
              <wp:docPr id="334893797" name="Text Box 1" descr="Sensitivity Lab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25755"/>
                      </a:xfrm>
                      <a:prstGeom prst="rect">
                        <a:avLst/>
                      </a:prstGeom>
                      <a:noFill/>
                      <a:ln>
                        <a:noFill/>
                      </a:ln>
                    </wps:spPr>
                    <wps:txbx>
                      <w:txbxContent>
                        <w:p w14:paraId="2A408E69" w14:textId="09A40938" w:rsidR="00F14908" w:rsidRPr="00F14908" w:rsidRDefault="00F14908" w:rsidP="00F14908">
                          <w:pPr>
                            <w:spacing w:after="0"/>
                            <w:rPr>
                              <w:rFonts w:ascii="Arial" w:eastAsia="Arial" w:hAnsi="Arial" w:cs="Arial"/>
                              <w:noProof/>
                              <w:color w:val="2E404D"/>
                              <w:sz w:val="16"/>
                              <w:szCs w:val="16"/>
                            </w:rPr>
                          </w:pPr>
                          <w:r w:rsidRPr="00F1490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B357AC" id="_x0000_t202" coordsize="21600,21600" o:spt="202" path="m,l,21600r21600,l21600,xe">
              <v:stroke joinstyle="miter"/>
              <v:path gradientshapeok="t" o:connecttype="rect"/>
            </v:shapetype>
            <v:shape id="Text Box 1" o:spid="_x0000_s1028" type="#_x0000_t202" alt="Sensitivity Label: General" style="position:absolute;margin-left:0;margin-top:0;width:90.75pt;height:25.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" filled="f" stroked="f">
              <v:textbox style="mso-fit-shape-to-text:t" inset="0,0,0,15pt">
                <w:txbxContent>
                  <w:p w14:paraId="2A408E69" w14:textId="09A40938" w:rsidR="00F14908" w:rsidRPr="00F14908" w:rsidRDefault="00F14908" w:rsidP="00F14908">
                    <w:pPr>
                      <w:spacing w:after="0"/>
                      <w:rPr>
                        <w:rFonts w:ascii="Arial" w:eastAsia="Arial" w:hAnsi="Arial" w:cs="Arial"/>
                        <w:noProof/>
                        <w:color w:val="2E404D"/>
                        <w:sz w:val="16"/>
                        <w:szCs w:val="16"/>
                      </w:rPr>
                    </w:pPr>
                    <w:r w:rsidRPr="00F1490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2B5F" w14:textId="77777777" w:rsidR="0052151A" w:rsidRDefault="0052151A" w:rsidP="009D673C">
      <w:pPr>
        <w:spacing w:after="0" w:line="240" w:lineRule="auto"/>
      </w:pPr>
      <w:r>
        <w:separator/>
      </w:r>
    </w:p>
  </w:footnote>
  <w:footnote w:type="continuationSeparator" w:id="0">
    <w:p w14:paraId="598CA273" w14:textId="77777777" w:rsidR="0052151A" w:rsidRDefault="0052151A" w:rsidP="009D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A8DC" w14:textId="77777777" w:rsidR="0014202E" w:rsidRPr="0014202E" w:rsidRDefault="009D673C">
    <w:pPr>
      <w:pStyle w:val="Cabealho"/>
      <w:rPr>
        <w:color w:val="808080" w:themeColor="background1" w:themeShade="80"/>
        <w:sz w:val="22"/>
        <w:szCs w:val="22"/>
      </w:rPr>
    </w:pPr>
    <w:r w:rsidRPr="0014202E">
      <w:rPr>
        <w:noProof/>
        <w:color w:val="808080" w:themeColor="background1" w:themeShade="80"/>
        <w:sz w:val="22"/>
        <w:szCs w:val="22"/>
      </w:rPr>
      <w:drawing>
        <wp:anchor distT="0" distB="0" distL="114300" distR="114300" simplePos="0" relativeHeight="251658240" behindDoc="1" locked="0" layoutInCell="1" allowOverlap="1" wp14:anchorId="44732BEC" wp14:editId="2D0BCCBA">
          <wp:simplePos x="0" y="0"/>
          <wp:positionH relativeFrom="margin">
            <wp:posOffset>4301594</wp:posOffset>
          </wp:positionH>
          <wp:positionV relativeFrom="paragraph">
            <wp:posOffset>-88445</wp:posOffset>
          </wp:positionV>
          <wp:extent cx="1692275" cy="464185"/>
          <wp:effectExtent l="0" t="0" r="0" b="0"/>
          <wp:wrapTight wrapText="bothSides">
            <wp:wrapPolygon edited="0">
              <wp:start x="2188" y="1773"/>
              <wp:lineTo x="1459" y="8865"/>
              <wp:lineTo x="1459" y="12410"/>
              <wp:lineTo x="2675" y="18616"/>
              <wp:lineTo x="4863" y="18616"/>
              <wp:lineTo x="19938" y="14183"/>
              <wp:lineTo x="19938" y="5319"/>
              <wp:lineTo x="5106" y="1773"/>
              <wp:lineTo x="2188" y="1773"/>
            </wp:wrapPolygon>
          </wp:wrapTight>
          <wp:docPr id="136238495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13266"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4202E" w:rsidRPr="0014202E">
      <w:rPr>
        <w:color w:val="808080" w:themeColor="background1" w:themeShade="80"/>
        <w:sz w:val="22"/>
        <w:szCs w:val="22"/>
      </w:rPr>
      <w:t>Comunicado</w:t>
    </w:r>
    <w:proofErr w:type="spellEnd"/>
    <w:r w:rsidR="0014202E" w:rsidRPr="0014202E">
      <w:rPr>
        <w:color w:val="808080" w:themeColor="background1" w:themeShade="80"/>
        <w:sz w:val="22"/>
        <w:szCs w:val="22"/>
      </w:rPr>
      <w:t xml:space="preserve"> de </w:t>
    </w:r>
    <w:proofErr w:type="spellStart"/>
    <w:r w:rsidR="0014202E" w:rsidRPr="0014202E">
      <w:rPr>
        <w:color w:val="808080" w:themeColor="background1" w:themeShade="80"/>
        <w:sz w:val="22"/>
        <w:szCs w:val="22"/>
      </w:rPr>
      <w:t>Imprensa</w:t>
    </w:r>
    <w:proofErr w:type="spellEnd"/>
  </w:p>
  <w:p w14:paraId="33EA4C42" w14:textId="77777777" w:rsidR="0014202E" w:rsidRDefault="0014202E">
    <w:pPr>
      <w:pStyle w:val="Cabealho"/>
      <w:rPr>
        <w:color w:val="808080" w:themeColor="background1" w:themeShade="80"/>
      </w:rPr>
    </w:pPr>
  </w:p>
  <w:p w14:paraId="3280F6A6" w14:textId="65CDB8B8" w:rsidR="009D673C" w:rsidRPr="0014202E" w:rsidRDefault="009D67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439"/>
    <w:multiLevelType w:val="multilevel"/>
    <w:tmpl w:val="4DD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C36AD"/>
    <w:multiLevelType w:val="multilevel"/>
    <w:tmpl w:val="AD3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E2EB7"/>
    <w:multiLevelType w:val="multilevel"/>
    <w:tmpl w:val="ABAA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F2950"/>
    <w:multiLevelType w:val="hybridMultilevel"/>
    <w:tmpl w:val="4A3894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B1F2A93"/>
    <w:multiLevelType w:val="multilevel"/>
    <w:tmpl w:val="17B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F01F7"/>
    <w:multiLevelType w:val="hybridMultilevel"/>
    <w:tmpl w:val="39306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862E0C"/>
    <w:multiLevelType w:val="multilevel"/>
    <w:tmpl w:val="6E60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94925"/>
    <w:multiLevelType w:val="hybridMultilevel"/>
    <w:tmpl w:val="90DC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34498"/>
    <w:multiLevelType w:val="hybridMultilevel"/>
    <w:tmpl w:val="8146E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2C43C8"/>
    <w:multiLevelType w:val="hybridMultilevel"/>
    <w:tmpl w:val="045C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2542C"/>
    <w:multiLevelType w:val="hybridMultilevel"/>
    <w:tmpl w:val="C80C1F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76D5625"/>
    <w:multiLevelType w:val="multilevel"/>
    <w:tmpl w:val="32E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387845"/>
    <w:multiLevelType w:val="multilevel"/>
    <w:tmpl w:val="998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3191510">
    <w:abstractNumId w:val="9"/>
  </w:num>
  <w:num w:numId="2" w16cid:durableId="667909099">
    <w:abstractNumId w:val="7"/>
  </w:num>
  <w:num w:numId="3" w16cid:durableId="655106383">
    <w:abstractNumId w:val="12"/>
  </w:num>
  <w:num w:numId="4" w16cid:durableId="2116438688">
    <w:abstractNumId w:val="2"/>
  </w:num>
  <w:num w:numId="5" w16cid:durableId="1094588848">
    <w:abstractNumId w:val="4"/>
  </w:num>
  <w:num w:numId="6" w16cid:durableId="414131208">
    <w:abstractNumId w:val="6"/>
  </w:num>
  <w:num w:numId="7" w16cid:durableId="1409113103">
    <w:abstractNumId w:val="11"/>
  </w:num>
  <w:num w:numId="8" w16cid:durableId="549269863">
    <w:abstractNumId w:val="1"/>
  </w:num>
  <w:num w:numId="9" w16cid:durableId="239675095">
    <w:abstractNumId w:val="0"/>
  </w:num>
  <w:num w:numId="10" w16cid:durableId="1051002808">
    <w:abstractNumId w:val="10"/>
  </w:num>
  <w:num w:numId="11" w16cid:durableId="1986739177">
    <w:abstractNumId w:val="5"/>
  </w:num>
  <w:num w:numId="12" w16cid:durableId="1242911786">
    <w:abstractNumId w:val="3"/>
  </w:num>
  <w:num w:numId="13" w16cid:durableId="964654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3C"/>
    <w:rsid w:val="00007127"/>
    <w:rsid w:val="000155E3"/>
    <w:rsid w:val="00042431"/>
    <w:rsid w:val="00045831"/>
    <w:rsid w:val="00053222"/>
    <w:rsid w:val="0006750B"/>
    <w:rsid w:val="00095721"/>
    <w:rsid w:val="000A0210"/>
    <w:rsid w:val="000D0625"/>
    <w:rsid w:val="000E535E"/>
    <w:rsid w:val="001226F2"/>
    <w:rsid w:val="00127FC0"/>
    <w:rsid w:val="0014202E"/>
    <w:rsid w:val="00181CF6"/>
    <w:rsid w:val="001863C0"/>
    <w:rsid w:val="0019526A"/>
    <w:rsid w:val="001A5A85"/>
    <w:rsid w:val="001E6CDD"/>
    <w:rsid w:val="001E6D03"/>
    <w:rsid w:val="001F51B5"/>
    <w:rsid w:val="002053D2"/>
    <w:rsid w:val="00213E64"/>
    <w:rsid w:val="00215DEF"/>
    <w:rsid w:val="002325BC"/>
    <w:rsid w:val="00245E37"/>
    <w:rsid w:val="0029545C"/>
    <w:rsid w:val="002D5C5A"/>
    <w:rsid w:val="002D7D4A"/>
    <w:rsid w:val="002F5431"/>
    <w:rsid w:val="0032246D"/>
    <w:rsid w:val="00333DC0"/>
    <w:rsid w:val="00337762"/>
    <w:rsid w:val="0034160A"/>
    <w:rsid w:val="00342FB7"/>
    <w:rsid w:val="00345E09"/>
    <w:rsid w:val="00367656"/>
    <w:rsid w:val="00377AA1"/>
    <w:rsid w:val="00391407"/>
    <w:rsid w:val="003B5D05"/>
    <w:rsid w:val="003F2EBC"/>
    <w:rsid w:val="004261CA"/>
    <w:rsid w:val="00443419"/>
    <w:rsid w:val="0046730B"/>
    <w:rsid w:val="00472573"/>
    <w:rsid w:val="00477C02"/>
    <w:rsid w:val="00482EAA"/>
    <w:rsid w:val="00495B48"/>
    <w:rsid w:val="004B0311"/>
    <w:rsid w:val="00505304"/>
    <w:rsid w:val="0050559E"/>
    <w:rsid w:val="0052151A"/>
    <w:rsid w:val="00527877"/>
    <w:rsid w:val="005521A8"/>
    <w:rsid w:val="005A1326"/>
    <w:rsid w:val="005B1605"/>
    <w:rsid w:val="005B5375"/>
    <w:rsid w:val="005E1695"/>
    <w:rsid w:val="005E59B4"/>
    <w:rsid w:val="005E731F"/>
    <w:rsid w:val="00602D44"/>
    <w:rsid w:val="00633937"/>
    <w:rsid w:val="0063422B"/>
    <w:rsid w:val="006C2821"/>
    <w:rsid w:val="006C32FD"/>
    <w:rsid w:val="007523A0"/>
    <w:rsid w:val="00763EA0"/>
    <w:rsid w:val="00797F15"/>
    <w:rsid w:val="007A7302"/>
    <w:rsid w:val="007E0CE6"/>
    <w:rsid w:val="007F4F0E"/>
    <w:rsid w:val="008124F7"/>
    <w:rsid w:val="00830BA1"/>
    <w:rsid w:val="00843415"/>
    <w:rsid w:val="00887791"/>
    <w:rsid w:val="008A0061"/>
    <w:rsid w:val="008C540F"/>
    <w:rsid w:val="008D2C1F"/>
    <w:rsid w:val="008F4155"/>
    <w:rsid w:val="00900B79"/>
    <w:rsid w:val="00916E06"/>
    <w:rsid w:val="009218FE"/>
    <w:rsid w:val="00945C82"/>
    <w:rsid w:val="00955637"/>
    <w:rsid w:val="009A07D0"/>
    <w:rsid w:val="009D500C"/>
    <w:rsid w:val="009D673C"/>
    <w:rsid w:val="009E780B"/>
    <w:rsid w:val="00A112C0"/>
    <w:rsid w:val="00A15207"/>
    <w:rsid w:val="00A15F95"/>
    <w:rsid w:val="00A201BF"/>
    <w:rsid w:val="00A32845"/>
    <w:rsid w:val="00A37CD2"/>
    <w:rsid w:val="00A43A48"/>
    <w:rsid w:val="00A55530"/>
    <w:rsid w:val="00A66A96"/>
    <w:rsid w:val="00A72373"/>
    <w:rsid w:val="00A90AB6"/>
    <w:rsid w:val="00AA3851"/>
    <w:rsid w:val="00AB178C"/>
    <w:rsid w:val="00AC2E76"/>
    <w:rsid w:val="00AD058B"/>
    <w:rsid w:val="00AE0A86"/>
    <w:rsid w:val="00B03F62"/>
    <w:rsid w:val="00B075AD"/>
    <w:rsid w:val="00B32F86"/>
    <w:rsid w:val="00B651A0"/>
    <w:rsid w:val="00B733C5"/>
    <w:rsid w:val="00B80DCB"/>
    <w:rsid w:val="00BB01F6"/>
    <w:rsid w:val="00BE3C18"/>
    <w:rsid w:val="00BE7F21"/>
    <w:rsid w:val="00BF0BA9"/>
    <w:rsid w:val="00BF1FA4"/>
    <w:rsid w:val="00C40BCB"/>
    <w:rsid w:val="00C41A19"/>
    <w:rsid w:val="00C458AF"/>
    <w:rsid w:val="00CA3EE9"/>
    <w:rsid w:val="00CC57A9"/>
    <w:rsid w:val="00CD30DC"/>
    <w:rsid w:val="00CF558E"/>
    <w:rsid w:val="00D35265"/>
    <w:rsid w:val="00D56D21"/>
    <w:rsid w:val="00D645A8"/>
    <w:rsid w:val="00D652E0"/>
    <w:rsid w:val="00D75BE0"/>
    <w:rsid w:val="00DB0650"/>
    <w:rsid w:val="00DE4DC5"/>
    <w:rsid w:val="00DE78B2"/>
    <w:rsid w:val="00DF2471"/>
    <w:rsid w:val="00E04A70"/>
    <w:rsid w:val="00E35EC6"/>
    <w:rsid w:val="00E41EEF"/>
    <w:rsid w:val="00E64CD6"/>
    <w:rsid w:val="00E96ED6"/>
    <w:rsid w:val="00EB3E59"/>
    <w:rsid w:val="00EE559E"/>
    <w:rsid w:val="00F0132B"/>
    <w:rsid w:val="00F14908"/>
    <w:rsid w:val="00F21574"/>
    <w:rsid w:val="00F47925"/>
    <w:rsid w:val="00F61315"/>
    <w:rsid w:val="00F708F4"/>
    <w:rsid w:val="00F90632"/>
    <w:rsid w:val="00FA3618"/>
    <w:rsid w:val="00FB151F"/>
    <w:rsid w:val="00FD7247"/>
    <w:rsid w:val="00FF61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3013D"/>
  <w15:chartTrackingRefBased/>
  <w15:docId w15:val="{3F9B0140-B6B8-2C4C-A942-00DA2832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D6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9D6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9D67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D67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D67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D67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D67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D67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D673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D673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D673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9D673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D673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D673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D673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D673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D673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D673C"/>
    <w:rPr>
      <w:rFonts w:eastAsiaTheme="majorEastAsia" w:cstheme="majorBidi"/>
      <w:color w:val="272727" w:themeColor="text1" w:themeTint="D8"/>
    </w:rPr>
  </w:style>
  <w:style w:type="paragraph" w:styleId="Ttulo">
    <w:name w:val="Title"/>
    <w:basedOn w:val="Normal"/>
    <w:next w:val="Normal"/>
    <w:link w:val="TtuloCarter"/>
    <w:uiPriority w:val="10"/>
    <w:qFormat/>
    <w:rsid w:val="009D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D67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D673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D673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D673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D673C"/>
    <w:rPr>
      <w:i/>
      <w:iCs/>
      <w:color w:val="404040" w:themeColor="text1" w:themeTint="BF"/>
    </w:rPr>
  </w:style>
  <w:style w:type="paragraph" w:styleId="PargrafodaLista">
    <w:name w:val="List Paragraph"/>
    <w:basedOn w:val="Normal"/>
    <w:uiPriority w:val="34"/>
    <w:qFormat/>
    <w:rsid w:val="009D673C"/>
    <w:pPr>
      <w:ind w:left="720"/>
      <w:contextualSpacing/>
    </w:pPr>
  </w:style>
  <w:style w:type="character" w:styleId="nfaseIntensa">
    <w:name w:val="Intense Emphasis"/>
    <w:basedOn w:val="Tipodeletrapredefinidodopargrafo"/>
    <w:uiPriority w:val="21"/>
    <w:qFormat/>
    <w:rsid w:val="009D673C"/>
    <w:rPr>
      <w:i/>
      <w:iCs/>
      <w:color w:val="0F4761" w:themeColor="accent1" w:themeShade="BF"/>
    </w:rPr>
  </w:style>
  <w:style w:type="paragraph" w:styleId="CitaoIntensa">
    <w:name w:val="Intense Quote"/>
    <w:basedOn w:val="Normal"/>
    <w:next w:val="Normal"/>
    <w:link w:val="CitaoIntensaCarter"/>
    <w:uiPriority w:val="30"/>
    <w:qFormat/>
    <w:rsid w:val="009D6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D673C"/>
    <w:rPr>
      <w:i/>
      <w:iCs/>
      <w:color w:val="0F4761" w:themeColor="accent1" w:themeShade="BF"/>
    </w:rPr>
  </w:style>
  <w:style w:type="character" w:styleId="RefernciaIntensa">
    <w:name w:val="Intense Reference"/>
    <w:basedOn w:val="Tipodeletrapredefinidodopargrafo"/>
    <w:uiPriority w:val="32"/>
    <w:qFormat/>
    <w:rsid w:val="009D673C"/>
    <w:rPr>
      <w:b/>
      <w:bCs/>
      <w:smallCaps/>
      <w:color w:val="0F4761" w:themeColor="accent1" w:themeShade="BF"/>
      <w:spacing w:val="5"/>
    </w:rPr>
  </w:style>
  <w:style w:type="paragraph" w:styleId="Cabealho">
    <w:name w:val="header"/>
    <w:basedOn w:val="Normal"/>
    <w:link w:val="CabealhoCarter"/>
    <w:uiPriority w:val="99"/>
    <w:unhideWhenUsed/>
    <w:rsid w:val="009D673C"/>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9D673C"/>
  </w:style>
  <w:style w:type="paragraph" w:styleId="Rodap">
    <w:name w:val="footer"/>
    <w:basedOn w:val="Normal"/>
    <w:link w:val="RodapCarter"/>
    <w:uiPriority w:val="99"/>
    <w:unhideWhenUsed/>
    <w:rsid w:val="009D673C"/>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9D673C"/>
  </w:style>
  <w:style w:type="character" w:styleId="Hiperligao">
    <w:name w:val="Hyperlink"/>
    <w:basedOn w:val="Tipodeletrapredefinidodopargrafo"/>
    <w:uiPriority w:val="99"/>
    <w:unhideWhenUsed/>
    <w:rsid w:val="009D673C"/>
    <w:rPr>
      <w:color w:val="467886"/>
      <w:u w:val="single"/>
    </w:rPr>
  </w:style>
  <w:style w:type="character" w:styleId="Hiperligaovisitada">
    <w:name w:val="FollowedHyperlink"/>
    <w:basedOn w:val="Tipodeletrapredefinidodopargrafo"/>
    <w:uiPriority w:val="99"/>
    <w:semiHidden/>
    <w:unhideWhenUsed/>
    <w:rsid w:val="009D673C"/>
    <w:rPr>
      <w:color w:val="96607D" w:themeColor="followedHyperlink"/>
      <w:u w:val="single"/>
    </w:rPr>
  </w:style>
  <w:style w:type="paragraph" w:customStyle="1" w:styleId="paragraph">
    <w:name w:val="paragraph"/>
    <w:basedOn w:val="Normal"/>
    <w:rsid w:val="00AD05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Tipodeletrapredefinidodopargrafo"/>
    <w:rsid w:val="00AD058B"/>
  </w:style>
  <w:style w:type="character" w:customStyle="1" w:styleId="eop">
    <w:name w:val="eop"/>
    <w:basedOn w:val="Tipodeletrapredefinidodopargrafo"/>
    <w:rsid w:val="00AD058B"/>
  </w:style>
  <w:style w:type="character" w:customStyle="1" w:styleId="nobreakhyphenblob">
    <w:name w:val="nobreakhyphenblob"/>
    <w:basedOn w:val="Tipodeletrapredefinidodopargrafo"/>
    <w:rsid w:val="00AD058B"/>
  </w:style>
  <w:style w:type="character" w:styleId="MenoNoResolvida">
    <w:name w:val="Unresolved Mention"/>
    <w:basedOn w:val="Tipodeletrapredefinidodopargrafo"/>
    <w:uiPriority w:val="99"/>
    <w:semiHidden/>
    <w:unhideWhenUsed/>
    <w:rsid w:val="00D35265"/>
    <w:rPr>
      <w:color w:val="605E5C"/>
      <w:shd w:val="clear" w:color="auto" w:fill="E1DFDD"/>
    </w:rPr>
  </w:style>
  <w:style w:type="character" w:customStyle="1" w:styleId="outlook-search-highlight">
    <w:name w:val="outlook-search-highlight"/>
    <w:basedOn w:val="Tipodeletrapredefinidodopargrafo"/>
    <w:rsid w:val="00D35265"/>
  </w:style>
  <w:style w:type="paragraph" w:styleId="Reviso">
    <w:name w:val="Revision"/>
    <w:hidden/>
    <w:uiPriority w:val="99"/>
    <w:semiHidden/>
    <w:rsid w:val="00A112C0"/>
    <w:pPr>
      <w:spacing w:after="0" w:line="240" w:lineRule="auto"/>
    </w:pPr>
  </w:style>
  <w:style w:type="character" w:styleId="Refdecomentrio">
    <w:name w:val="annotation reference"/>
    <w:basedOn w:val="Tipodeletrapredefinidodopargrafo"/>
    <w:uiPriority w:val="99"/>
    <w:semiHidden/>
    <w:unhideWhenUsed/>
    <w:rsid w:val="00A112C0"/>
    <w:rPr>
      <w:sz w:val="16"/>
      <w:szCs w:val="16"/>
    </w:rPr>
  </w:style>
  <w:style w:type="paragraph" w:styleId="Textodecomentrio">
    <w:name w:val="annotation text"/>
    <w:basedOn w:val="Normal"/>
    <w:link w:val="TextodecomentrioCarter"/>
    <w:uiPriority w:val="99"/>
    <w:unhideWhenUsed/>
    <w:rsid w:val="00A112C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A112C0"/>
    <w:rPr>
      <w:sz w:val="20"/>
      <w:szCs w:val="20"/>
    </w:rPr>
  </w:style>
  <w:style w:type="paragraph" w:styleId="Assuntodecomentrio">
    <w:name w:val="annotation subject"/>
    <w:basedOn w:val="Textodecomentrio"/>
    <w:next w:val="Textodecomentrio"/>
    <w:link w:val="AssuntodecomentrioCarter"/>
    <w:uiPriority w:val="99"/>
    <w:semiHidden/>
    <w:unhideWhenUsed/>
    <w:rsid w:val="00A112C0"/>
    <w:rPr>
      <w:b/>
      <w:bCs/>
    </w:rPr>
  </w:style>
  <w:style w:type="character" w:customStyle="1" w:styleId="AssuntodecomentrioCarter">
    <w:name w:val="Assunto de comentário Caráter"/>
    <w:basedOn w:val="TextodecomentrioCarter"/>
    <w:link w:val="Assuntodecomentrio"/>
    <w:uiPriority w:val="99"/>
    <w:semiHidden/>
    <w:rsid w:val="00A112C0"/>
    <w:rPr>
      <w:b/>
      <w:bCs/>
      <w:sz w:val="20"/>
      <w:szCs w:val="20"/>
    </w:rPr>
  </w:style>
  <w:style w:type="paragraph" w:styleId="NormalWeb">
    <w:name w:val="Normal (Web)"/>
    <w:basedOn w:val="Normal"/>
    <w:uiPriority w:val="99"/>
    <w:semiHidden/>
    <w:unhideWhenUsed/>
    <w:rsid w:val="001863C0"/>
    <w:pPr>
      <w:spacing w:before="100" w:beforeAutospacing="1" w:after="100" w:afterAutospacing="1" w:line="240" w:lineRule="auto"/>
    </w:pPr>
    <w:rPr>
      <w:rFonts w:ascii="Times New Roman" w:eastAsia="Times New Roman" w:hAnsi="Times New Roman" w:cs="Times New Roman"/>
      <w:kern w:val="0"/>
      <w:lang w:val="pt-PT"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rica.macieira@lift.com.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santos@lift.com.p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urance.nttdata.com/insurtech-global-outlook-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t.nttdata.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A96CA1-3E92-BC42-9AAA-4A13E52CEC2C}">
  <we:reference id="wa104380773" version="2.2.7.0" store="en-US" storeType="OMEX"/>
  <we:alternateReferences>
    <we:reference id="WA104380773" version="2.2.7.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4439792540114CACC1B0E6A3C20D03" ma:contentTypeVersion="19" ma:contentTypeDescription="Crear nuevo documento." ma:contentTypeScope="" ma:versionID="032d8def886905847ff33a68b16c0547">
  <xsd:schema xmlns:xsd="http://www.w3.org/2001/XMLSchema" xmlns:xs="http://www.w3.org/2001/XMLSchema" xmlns:p="http://schemas.microsoft.com/office/2006/metadata/properties" xmlns:ns2="92d4967f-e124-43f3-a68f-dac69c34bad6" xmlns:ns3="c17badae-82f5-44c6-a5ed-7d84be8fc952" targetNamespace="http://schemas.microsoft.com/office/2006/metadata/properties" ma:root="true" ma:fieldsID="d2df5a76d406c773c32b231da038a376" ns2:_="" ns3:_="">
    <xsd:import namespace="92d4967f-e124-43f3-a68f-dac69c34bad6"/>
    <xsd:import namespace="c17badae-82f5-44c6-a5ed-7d84be8fc9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4967f-e124-43f3-a68f-dac69c34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badae-82f5-44c6-a5ed-7d84be8fc952"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1bd9501-ea29-4620-9619-61cd4248534c}" ma:internalName="TaxCatchAll" ma:showField="CatchAllData" ma:web="c17badae-82f5-44c6-a5ed-7d84be8fc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d4967f-e124-43f3-a68f-dac69c34bad6">
      <Terms xmlns="http://schemas.microsoft.com/office/infopath/2007/PartnerControls"/>
    </lcf76f155ced4ddcb4097134ff3c332f>
    <TaxCatchAll xmlns="c17badae-82f5-44c6-a5ed-7d84be8fc952" xsi:nil="true"/>
  </documentManagement>
</p:properties>
</file>

<file path=customXml/itemProps1.xml><?xml version="1.0" encoding="utf-8"?>
<ds:datastoreItem xmlns:ds="http://schemas.openxmlformats.org/officeDocument/2006/customXml" ds:itemID="{657F0D12-A6EC-4DE6-91E4-96415AA94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4967f-e124-43f3-a68f-dac69c34bad6"/>
    <ds:schemaRef ds:uri="c17badae-82f5-44c6-a5ed-7d84be8f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22020-AF8E-47CA-8F0F-E1BB0E9F013C}">
  <ds:schemaRefs>
    <ds:schemaRef ds:uri="http://schemas.microsoft.com/sharepoint/v3/contenttype/forms"/>
  </ds:schemaRefs>
</ds:datastoreItem>
</file>

<file path=customXml/itemProps3.xml><?xml version="1.0" encoding="utf-8"?>
<ds:datastoreItem xmlns:ds="http://schemas.openxmlformats.org/officeDocument/2006/customXml" ds:itemID="{1A29321A-8196-4162-A3AE-9743E1A6E664}">
  <ds:schemaRefs>
    <ds:schemaRef ds:uri="http://schemas.microsoft.com/office/2006/metadata/properties"/>
    <ds:schemaRef ds:uri="http://schemas.microsoft.com/office/infopath/2007/PartnerControls"/>
    <ds:schemaRef ds:uri="92d4967f-e124-43f3-a68f-dac69c34bad6"/>
    <ds:schemaRef ds:uri="c17badae-82f5-44c6-a5ed-7d84be8fc9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6047</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Postlethwaite</dc:creator>
  <cp:keywords/>
  <dc:description/>
  <cp:lastModifiedBy>Ana Santos</cp:lastModifiedBy>
  <cp:revision>4</cp:revision>
  <dcterms:created xsi:type="dcterms:W3CDTF">2026-06-24T13:30:00Z</dcterms:created>
  <dcterms:modified xsi:type="dcterms:W3CDTF">2026-06-30T07:19:00Z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0x010100C64439792540114CACC1B0E6A3C20D03</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y fmtid="{D5CDD505-2E9C-101B-9397-08002B2CF9AE}" pid="6" name="ClassificationContentMarkingFooterShapeIds">
    <vt:lpwstr>13f612e5,2a68e7b1,24ab78da</vt:lpwstr>
  </property>
  <property fmtid="{D5CDD505-2E9C-101B-9397-08002B2CF9AE}" pid="7" name="ClassificationContentMarkingFooterFontProps">
    <vt:lpwstr>#2e404d,8,Arial</vt:lpwstr>
  </property>
  <property fmtid="{D5CDD505-2E9C-101B-9397-08002B2CF9AE}" pid="8" name="ClassificationContentMarkingFooterText">
    <vt:lpwstr>Sensitivity Label: General</vt:lpwstr>
  </property>
  <property fmtid="{D5CDD505-2E9C-101B-9397-08002B2CF9AE}" pid="9" name="MSIP_Label_4637e5cc-ed1f-4ad6-a881-35c0f1c6f3d8_Enabled">
    <vt:lpwstr>true</vt:lpwstr>
  </property>
  <property fmtid="{D5CDD505-2E9C-101B-9397-08002B2CF9AE}" pid="10" name="MSIP_Label_4637e5cc-ed1f-4ad6-a881-35c0f1c6f3d8_SetDate">
    <vt:lpwstr>2026-05-29T10:02:57Z</vt:lpwstr>
  </property>
  <property fmtid="{D5CDD505-2E9C-101B-9397-08002B2CF9AE}" pid="11" name="MSIP_Label_4637e5cc-ed1f-4ad6-a881-35c0f1c6f3d8_Method">
    <vt:lpwstr>Standard</vt:lpwstr>
  </property>
  <property fmtid="{D5CDD505-2E9C-101B-9397-08002B2CF9AE}" pid="12" name="MSIP_Label_4637e5cc-ed1f-4ad6-a881-35c0f1c6f3d8_Name">
    <vt:lpwstr>General</vt:lpwstr>
  </property>
  <property fmtid="{D5CDD505-2E9C-101B-9397-08002B2CF9AE}" pid="13" name="MSIP_Label_4637e5cc-ed1f-4ad6-a881-35c0f1c6f3d8_SiteId">
    <vt:lpwstr>e3cf3c98-a978-465f-8254-9d541eeea73c</vt:lpwstr>
  </property>
  <property fmtid="{D5CDD505-2E9C-101B-9397-08002B2CF9AE}" pid="14" name="MSIP_Label_4637e5cc-ed1f-4ad6-a881-35c0f1c6f3d8_ActionId">
    <vt:lpwstr>018b3af6-669f-4337-ac1f-74f84863cef6</vt:lpwstr>
  </property>
  <property fmtid="{D5CDD505-2E9C-101B-9397-08002B2CF9AE}" pid="15" name="MSIP_Label_4637e5cc-ed1f-4ad6-a881-35c0f1c6f3d8_ContentBits">
    <vt:lpwstr>2</vt:lpwstr>
  </property>
  <property fmtid="{D5CDD505-2E9C-101B-9397-08002B2CF9AE}" pid="16" name="MSIP_Label_4637e5cc-ed1f-4ad6-a881-35c0f1c6f3d8_Tag">
    <vt:lpwstr>10, 3, 0, 1</vt:lpwstr>
  </property>
</Properties>
</file>