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B10B" w14:textId="77777777" w:rsidR="00BC1531" w:rsidRDefault="00BC1531" w:rsidP="00FE3411">
      <w:pPr>
        <w:rPr>
          <w:rFonts w:cs="Calibri"/>
          <w:b/>
          <w:bCs/>
          <w:sz w:val="32"/>
          <w:szCs w:val="32"/>
        </w:rPr>
      </w:pPr>
    </w:p>
    <w:p w14:paraId="75B9030E" w14:textId="781ECE7D" w:rsidR="00C91A53" w:rsidRPr="00BC1531" w:rsidRDefault="00BC1531" w:rsidP="00BC1531">
      <w:pPr>
        <w:jc w:val="right"/>
        <w:rPr>
          <w:rFonts w:cs="Calibri"/>
          <w:sz w:val="22"/>
          <w:szCs w:val="22"/>
        </w:rPr>
      </w:pPr>
      <w:r w:rsidRPr="00BC1531">
        <w:rPr>
          <w:rFonts w:cs="Calibri"/>
          <w:sz w:val="22"/>
          <w:szCs w:val="22"/>
        </w:rPr>
        <w:t xml:space="preserve">Warszawa, </w:t>
      </w:r>
      <w:r w:rsidR="00AD08C2">
        <w:rPr>
          <w:rFonts w:cs="Calibri"/>
          <w:sz w:val="22"/>
          <w:szCs w:val="22"/>
        </w:rPr>
        <w:t xml:space="preserve">30 </w:t>
      </w:r>
      <w:r w:rsidRPr="00BC1531">
        <w:rPr>
          <w:rFonts w:cs="Calibri"/>
          <w:sz w:val="22"/>
          <w:szCs w:val="22"/>
        </w:rPr>
        <w:t>czerwca 2026 r.</w:t>
      </w:r>
    </w:p>
    <w:p w14:paraId="68955BB5" w14:textId="77777777" w:rsidR="00276D48" w:rsidRDefault="00276D48" w:rsidP="002777E4">
      <w:pPr>
        <w:jc w:val="center"/>
        <w:rPr>
          <w:rFonts w:cs="Calibri"/>
          <w:b/>
          <w:bCs/>
          <w:sz w:val="32"/>
          <w:szCs w:val="32"/>
        </w:rPr>
      </w:pPr>
      <w:r w:rsidRPr="00276D48">
        <w:rPr>
          <w:rFonts w:cs="Calibri"/>
          <w:b/>
          <w:bCs/>
          <w:sz w:val="32"/>
          <w:szCs w:val="32"/>
        </w:rPr>
        <w:t>8 na 10 dzieci dostaje dodatkowe pieniądze na wakacje. Co ósme rezygnuje z aktywności z powodów finansowych</w:t>
      </w:r>
    </w:p>
    <w:p w14:paraId="6BA87BE4" w14:textId="77508676" w:rsidR="00675A6E" w:rsidRDefault="000B3E79" w:rsidP="002777E4">
      <w:pPr>
        <w:jc w:val="both"/>
        <w:rPr>
          <w:rFonts w:cs="Calibri"/>
          <w:b/>
          <w:bCs/>
          <w:sz w:val="22"/>
          <w:szCs w:val="22"/>
        </w:rPr>
      </w:pPr>
      <w:r>
        <w:rPr>
          <w:rFonts w:cs="Calibri"/>
          <w:b/>
          <w:bCs/>
          <w:sz w:val="22"/>
          <w:szCs w:val="22"/>
        </w:rPr>
        <w:t>Wakacje</w:t>
      </w:r>
      <w:r w:rsidR="00675A6E" w:rsidRPr="00675A6E">
        <w:rPr>
          <w:rFonts w:cs="Calibri"/>
          <w:b/>
          <w:bCs/>
          <w:sz w:val="22"/>
          <w:szCs w:val="22"/>
        </w:rPr>
        <w:t xml:space="preserve"> to dla wielu dzieci pierwsza praktyczna lekcja zarządzania własnym budżetem i budowania samodzielności. Z najnowszego badania marki BLIK zrealizowanego przez </w:t>
      </w:r>
      <w:proofErr w:type="spellStart"/>
      <w:r w:rsidR="00675A6E" w:rsidRPr="00675A6E">
        <w:rPr>
          <w:rFonts w:cs="Calibri"/>
          <w:b/>
          <w:bCs/>
          <w:sz w:val="22"/>
          <w:szCs w:val="22"/>
        </w:rPr>
        <w:t>IBRiS</w:t>
      </w:r>
      <w:proofErr w:type="spellEnd"/>
      <w:r w:rsidR="00675A6E" w:rsidRPr="00675A6E">
        <w:rPr>
          <w:rFonts w:cs="Calibri"/>
          <w:b/>
          <w:bCs/>
          <w:sz w:val="22"/>
          <w:szCs w:val="22"/>
        </w:rPr>
        <w:t xml:space="preserve"> wynika, że aż 84 proc. rodziców </w:t>
      </w:r>
      <w:r w:rsidR="001B48B3">
        <w:rPr>
          <w:rFonts w:cs="Calibri"/>
          <w:b/>
          <w:bCs/>
          <w:sz w:val="22"/>
          <w:szCs w:val="22"/>
        </w:rPr>
        <w:t>przekazuje swoim</w:t>
      </w:r>
      <w:r w:rsidR="00675A6E" w:rsidRPr="00675A6E">
        <w:rPr>
          <w:rFonts w:cs="Calibri"/>
          <w:b/>
          <w:bCs/>
          <w:sz w:val="22"/>
          <w:szCs w:val="22"/>
        </w:rPr>
        <w:t xml:space="preserve"> dzieci</w:t>
      </w:r>
      <w:r w:rsidR="001B48B3">
        <w:rPr>
          <w:rFonts w:cs="Calibri"/>
          <w:b/>
          <w:bCs/>
          <w:sz w:val="22"/>
          <w:szCs w:val="22"/>
        </w:rPr>
        <w:t>om</w:t>
      </w:r>
      <w:r w:rsidR="00675A6E" w:rsidRPr="00675A6E">
        <w:rPr>
          <w:rFonts w:cs="Calibri"/>
          <w:b/>
          <w:bCs/>
          <w:sz w:val="22"/>
          <w:szCs w:val="22"/>
        </w:rPr>
        <w:t xml:space="preserve"> dodatkowe pieniądze na czas letnich wyjazdów. Coraz częściej nie są to już jednak banknoty wkładane do kieszeni, a szybki przelew na telefon BLIK</w:t>
      </w:r>
      <w:r w:rsidR="00944204">
        <w:rPr>
          <w:rFonts w:cs="Calibri"/>
          <w:b/>
          <w:bCs/>
          <w:sz w:val="22"/>
          <w:szCs w:val="22"/>
        </w:rPr>
        <w:t>, który był</w:t>
      </w:r>
      <w:r w:rsidR="00675A6E" w:rsidRPr="00675A6E">
        <w:rPr>
          <w:rFonts w:cs="Calibri"/>
          <w:b/>
          <w:bCs/>
          <w:sz w:val="22"/>
          <w:szCs w:val="22"/>
        </w:rPr>
        <w:t xml:space="preserve"> najczęściej wskazywaną metodą dawania kieszonkowego</w:t>
      </w:r>
      <w:r w:rsidR="00944204">
        <w:rPr>
          <w:rFonts w:cs="Calibri"/>
          <w:b/>
          <w:bCs/>
          <w:sz w:val="22"/>
          <w:szCs w:val="22"/>
        </w:rPr>
        <w:t xml:space="preserve"> </w:t>
      </w:r>
      <w:r w:rsidR="00465095">
        <w:rPr>
          <w:rFonts w:cs="Calibri"/>
          <w:b/>
          <w:bCs/>
          <w:sz w:val="22"/>
          <w:szCs w:val="22"/>
        </w:rPr>
        <w:t xml:space="preserve">– </w:t>
      </w:r>
      <w:r w:rsidR="00675A6E" w:rsidRPr="00675A6E">
        <w:rPr>
          <w:rFonts w:cs="Calibri"/>
          <w:b/>
          <w:bCs/>
          <w:sz w:val="22"/>
          <w:szCs w:val="22"/>
        </w:rPr>
        <w:t xml:space="preserve">korzysta </w:t>
      </w:r>
      <w:r w:rsidR="00944204">
        <w:rPr>
          <w:rFonts w:cs="Calibri"/>
          <w:b/>
          <w:bCs/>
          <w:sz w:val="22"/>
          <w:szCs w:val="22"/>
        </w:rPr>
        <w:t xml:space="preserve">z niej </w:t>
      </w:r>
      <w:r w:rsidR="00675A6E" w:rsidRPr="00675A6E">
        <w:rPr>
          <w:rFonts w:cs="Calibri"/>
          <w:b/>
          <w:bCs/>
          <w:sz w:val="22"/>
          <w:szCs w:val="22"/>
        </w:rPr>
        <w:t>26 proc. badanych. W tle wakacyjnych decyzji finansowych wyraźnie widać jednak presję rówieśniczą</w:t>
      </w:r>
      <w:r w:rsidR="001F3A56">
        <w:rPr>
          <w:rFonts w:cs="Calibri"/>
          <w:b/>
          <w:bCs/>
          <w:sz w:val="22"/>
          <w:szCs w:val="22"/>
        </w:rPr>
        <w:t xml:space="preserve"> –</w:t>
      </w:r>
      <w:r w:rsidR="00675A6E" w:rsidRPr="00675A6E">
        <w:rPr>
          <w:rFonts w:cs="Calibri"/>
          <w:b/>
          <w:bCs/>
          <w:sz w:val="22"/>
          <w:szCs w:val="22"/>
        </w:rPr>
        <w:t xml:space="preserve"> aż 68 proc. opiekunów przyznaje, że dziecko prosiło o pieniądze na rzecz lub aktywność, z której korzystali już</w:t>
      </w:r>
      <w:r w:rsidR="00CE0AF7">
        <w:rPr>
          <w:rFonts w:cs="Calibri"/>
          <w:b/>
          <w:bCs/>
          <w:sz w:val="22"/>
          <w:szCs w:val="22"/>
        </w:rPr>
        <w:t xml:space="preserve"> ich</w:t>
      </w:r>
      <w:r w:rsidR="00675A6E" w:rsidRPr="00675A6E">
        <w:rPr>
          <w:rFonts w:cs="Calibri"/>
          <w:b/>
          <w:bCs/>
          <w:sz w:val="22"/>
          <w:szCs w:val="22"/>
        </w:rPr>
        <w:t xml:space="preserve"> koledzy</w:t>
      </w:r>
      <w:r w:rsidR="00CE0AF7">
        <w:rPr>
          <w:rFonts w:cs="Calibri"/>
          <w:b/>
          <w:bCs/>
          <w:sz w:val="22"/>
          <w:szCs w:val="22"/>
        </w:rPr>
        <w:t xml:space="preserve"> lub koleżanki</w:t>
      </w:r>
      <w:r w:rsidR="00675A6E">
        <w:rPr>
          <w:rFonts w:cs="Calibri"/>
          <w:b/>
          <w:bCs/>
          <w:sz w:val="22"/>
          <w:szCs w:val="22"/>
        </w:rPr>
        <w:t>.</w:t>
      </w:r>
    </w:p>
    <w:p w14:paraId="09D4BE9D" w14:textId="6862E234" w:rsidR="00A76FA0" w:rsidRDefault="00063AC9" w:rsidP="00A76FA0">
      <w:pPr>
        <w:jc w:val="both"/>
        <w:rPr>
          <w:rFonts w:cs="Calibri"/>
          <w:b/>
          <w:bCs/>
          <w:sz w:val="22"/>
          <w:szCs w:val="22"/>
        </w:rPr>
      </w:pPr>
      <w:r w:rsidRPr="00063AC9">
        <w:rPr>
          <w:rFonts w:cs="Calibri"/>
          <w:b/>
          <w:bCs/>
          <w:sz w:val="22"/>
          <w:szCs w:val="22"/>
        </w:rPr>
        <w:t>Mama częściej planuje,</w:t>
      </w:r>
      <w:r w:rsidR="00B819B6">
        <w:rPr>
          <w:rFonts w:cs="Calibri"/>
          <w:b/>
          <w:bCs/>
          <w:sz w:val="22"/>
          <w:szCs w:val="22"/>
        </w:rPr>
        <w:t xml:space="preserve"> a</w:t>
      </w:r>
      <w:r w:rsidRPr="00063AC9">
        <w:rPr>
          <w:rFonts w:cs="Calibri"/>
          <w:b/>
          <w:bCs/>
          <w:sz w:val="22"/>
          <w:szCs w:val="22"/>
        </w:rPr>
        <w:t xml:space="preserve"> tata reaguje</w:t>
      </w:r>
    </w:p>
    <w:p w14:paraId="596F3AEF" w14:textId="66A95953" w:rsidR="00A76FA0" w:rsidRPr="00325EBB" w:rsidRDefault="00A76FA0" w:rsidP="00A76FA0">
      <w:pPr>
        <w:jc w:val="both"/>
        <w:rPr>
          <w:rFonts w:cs="Calibri"/>
          <w:sz w:val="22"/>
          <w:szCs w:val="22"/>
        </w:rPr>
      </w:pPr>
      <w:r w:rsidRPr="00325EBB">
        <w:rPr>
          <w:rFonts w:cs="Calibri"/>
          <w:sz w:val="22"/>
          <w:szCs w:val="22"/>
        </w:rPr>
        <w:t>Choć zdecydowana większość dzieci otrzymuje dziś własne pieniądze do samodzielnego dysponowania, rodzice podchodzą do tego na różne sposoby. 42 proc. badanych deklaruje, że przekazuje dziecku kieszonkowe regularnie, natomiast 39 proc. daje pieniądze przede wszystkim wtedy, gdy pojawia się konkretna potrzeba lub prośba.</w:t>
      </w:r>
    </w:p>
    <w:p w14:paraId="4D35EF6D" w14:textId="7156B6A8" w:rsidR="00492CB3" w:rsidRDefault="0053148F" w:rsidP="000B63B2">
      <w:pPr>
        <w:jc w:val="both"/>
        <w:rPr>
          <w:rFonts w:cs="Calibri"/>
          <w:b/>
          <w:bCs/>
          <w:sz w:val="22"/>
          <w:szCs w:val="22"/>
        </w:rPr>
      </w:pPr>
      <w:r w:rsidRPr="0053148F">
        <w:rPr>
          <w:rFonts w:cs="Calibri"/>
          <w:sz w:val="22"/>
          <w:szCs w:val="22"/>
        </w:rPr>
        <w:t xml:space="preserve">W wynikach badania widać dwa różne podejścia do finansowania dziecięcych wydatków. Mamy częściej wybierają regularne kieszonkowe </w:t>
      </w:r>
      <w:r w:rsidR="006966BD" w:rsidRPr="00533E28">
        <w:rPr>
          <w:rFonts w:cs="Calibri"/>
          <w:sz w:val="22"/>
          <w:szCs w:val="22"/>
        </w:rPr>
        <w:t>–</w:t>
      </w:r>
      <w:r w:rsidRPr="0053148F">
        <w:rPr>
          <w:rFonts w:cs="Calibri"/>
          <w:sz w:val="22"/>
          <w:szCs w:val="22"/>
        </w:rPr>
        <w:t xml:space="preserve"> deklaruje tak 49 proc. respondentek, podczas gdy wśród ojców odsetek ten wynosi 34 proc. Z kolei niemal co drugi tata (48 proc.) sięga po pieniądze dopiero wtedy, gdy dziecko o nie poprosi.</w:t>
      </w:r>
      <w:r>
        <w:rPr>
          <w:rFonts w:cs="Calibri"/>
          <w:sz w:val="22"/>
          <w:szCs w:val="22"/>
        </w:rPr>
        <w:t xml:space="preserve"> </w:t>
      </w:r>
      <w:r w:rsidR="00EE4A68" w:rsidRPr="00EE4A68">
        <w:rPr>
          <w:rFonts w:cs="Calibri"/>
          <w:sz w:val="22"/>
          <w:szCs w:val="22"/>
        </w:rPr>
        <w:t xml:space="preserve">Regularne kieszonkowe zyskuje też na znaczeniu wraz z wiekiem dziecka </w:t>
      </w:r>
      <w:r w:rsidR="006966BD" w:rsidRPr="00533E28">
        <w:rPr>
          <w:rFonts w:cs="Calibri"/>
          <w:sz w:val="22"/>
          <w:szCs w:val="22"/>
        </w:rPr>
        <w:t>–</w:t>
      </w:r>
      <w:r w:rsidR="00EE4A68" w:rsidRPr="00EE4A68">
        <w:rPr>
          <w:rFonts w:cs="Calibri"/>
          <w:sz w:val="22"/>
          <w:szCs w:val="22"/>
        </w:rPr>
        <w:t xml:space="preserve"> otrzymuje je już ponad połowa</w:t>
      </w:r>
      <w:r w:rsidR="00944204">
        <w:rPr>
          <w:rFonts w:cs="Calibri"/>
          <w:sz w:val="22"/>
          <w:szCs w:val="22"/>
        </w:rPr>
        <w:t xml:space="preserve"> nastolatków</w:t>
      </w:r>
      <w:r w:rsidR="00EE4A68" w:rsidRPr="00EE4A68">
        <w:rPr>
          <w:rFonts w:cs="Calibri"/>
          <w:sz w:val="22"/>
          <w:szCs w:val="22"/>
        </w:rPr>
        <w:t>.</w:t>
      </w:r>
    </w:p>
    <w:p w14:paraId="68932427" w14:textId="7EBA5403" w:rsidR="000B63B2" w:rsidRPr="000B63B2" w:rsidRDefault="000B63B2" w:rsidP="000B63B2">
      <w:pPr>
        <w:jc w:val="both"/>
        <w:rPr>
          <w:rFonts w:cs="Calibri"/>
          <w:b/>
          <w:bCs/>
          <w:sz w:val="22"/>
          <w:szCs w:val="22"/>
        </w:rPr>
      </w:pPr>
      <w:r w:rsidRPr="000B63B2">
        <w:rPr>
          <w:rFonts w:cs="Calibri"/>
          <w:b/>
          <w:bCs/>
          <w:sz w:val="22"/>
          <w:szCs w:val="22"/>
        </w:rPr>
        <w:t>Kieszonkowe przenosi się do telefonu</w:t>
      </w:r>
    </w:p>
    <w:p w14:paraId="72B4BAF5" w14:textId="5AE1FD09" w:rsidR="00833F4A" w:rsidRPr="000B63B2" w:rsidRDefault="00833F4A" w:rsidP="00C244ED">
      <w:pPr>
        <w:jc w:val="both"/>
        <w:rPr>
          <w:rFonts w:cs="Calibri"/>
          <w:sz w:val="22"/>
          <w:szCs w:val="22"/>
        </w:rPr>
      </w:pPr>
      <w:r w:rsidRPr="00833F4A">
        <w:rPr>
          <w:rFonts w:cs="Calibri"/>
          <w:sz w:val="22"/>
          <w:szCs w:val="22"/>
        </w:rPr>
        <w:t>Sposób przekazywania kieszonkowego zmienia się razem z codziennymi nawykami rodzin. Część rodziców nadal wręcza dzieciom gotówkę przed wyjazdem, inni wolą przekazać pieniądze dopiero wtedy, gdy pojawia się konkretny wydatek. W badaniu przelew na telefon i gotówka uzyskały niemal identyczną liczbę wskazań. Pierwszą z tych form wybiera 26 proc. rodziców, drugą 25 proc. Tradycyjny przelew na konto wskazuje 21 proc. badanych, a 19 proc. korzysta z różnych metod, zależnie od sytuacji.</w:t>
      </w:r>
    </w:p>
    <w:p w14:paraId="4B46B054" w14:textId="6650E0E0" w:rsidR="006B783C" w:rsidRDefault="006B783C" w:rsidP="00C244ED">
      <w:pPr>
        <w:jc w:val="both"/>
        <w:rPr>
          <w:rFonts w:cs="Calibri"/>
          <w:sz w:val="22"/>
          <w:szCs w:val="22"/>
        </w:rPr>
      </w:pPr>
      <w:r w:rsidRPr="006B783C">
        <w:rPr>
          <w:rFonts w:cs="Calibri"/>
          <w:sz w:val="22"/>
          <w:szCs w:val="22"/>
        </w:rPr>
        <w:t xml:space="preserve">– </w:t>
      </w:r>
      <w:r w:rsidRPr="00325EBB">
        <w:rPr>
          <w:rFonts w:cs="Calibri"/>
          <w:i/>
          <w:iCs/>
          <w:sz w:val="22"/>
          <w:szCs w:val="22"/>
        </w:rPr>
        <w:t>Obserwujemy bardzo wyraźną korelację między wiekiem dziecka a formą, w jakiej otrzymuje ono pieniądze. O ile w grupie 7-10 lat gotówka wciąż dominuje i wybiera ją ponad połowa rodziców, o tyle u starszej młodzieży i młodych dorosłych sytuacja wygląda zupełnie inaczej. Łącznie aż 73 proc. opiekunów dzieci powyżej 15. roku życia wskazuje przelew na telefon jako najczęstszą metodę przekazywania kieszonkowego</w:t>
      </w:r>
      <w:r w:rsidRPr="006B783C">
        <w:rPr>
          <w:rFonts w:cs="Calibri"/>
          <w:sz w:val="22"/>
          <w:szCs w:val="22"/>
        </w:rPr>
        <w:t xml:space="preserve"> – </w:t>
      </w:r>
      <w:r>
        <w:rPr>
          <w:rFonts w:cs="Calibri"/>
          <w:sz w:val="22"/>
          <w:szCs w:val="22"/>
        </w:rPr>
        <w:t xml:space="preserve">mówi </w:t>
      </w:r>
      <w:r w:rsidRPr="00325EBB">
        <w:rPr>
          <w:rFonts w:cs="Calibri"/>
          <w:b/>
          <w:bCs/>
          <w:sz w:val="22"/>
          <w:szCs w:val="22"/>
        </w:rPr>
        <w:t>Krzysztof Ziewiec</w:t>
      </w:r>
      <w:r>
        <w:rPr>
          <w:rFonts w:cs="Calibri"/>
          <w:sz w:val="22"/>
          <w:szCs w:val="22"/>
        </w:rPr>
        <w:t>, dyrektor departamentu marketingu i PR w BLIKU.</w:t>
      </w:r>
      <w:r w:rsidRPr="006B783C">
        <w:rPr>
          <w:rFonts w:cs="Calibri"/>
          <w:sz w:val="22"/>
          <w:szCs w:val="22"/>
        </w:rPr>
        <w:t xml:space="preserve"> –</w:t>
      </w:r>
      <w:r w:rsidRPr="00325EBB">
        <w:rPr>
          <w:rFonts w:cs="Calibri"/>
          <w:i/>
          <w:iCs/>
          <w:sz w:val="22"/>
          <w:szCs w:val="22"/>
        </w:rPr>
        <w:t xml:space="preserve"> </w:t>
      </w:r>
      <w:r w:rsidR="00B30BAF">
        <w:rPr>
          <w:rFonts w:cs="Calibri"/>
          <w:i/>
          <w:iCs/>
          <w:sz w:val="22"/>
          <w:szCs w:val="22"/>
        </w:rPr>
        <w:t>W</w:t>
      </w:r>
      <w:r w:rsidRPr="00325EBB">
        <w:rPr>
          <w:rFonts w:cs="Calibri"/>
          <w:i/>
          <w:iCs/>
          <w:sz w:val="22"/>
          <w:szCs w:val="22"/>
        </w:rPr>
        <w:t xml:space="preserve">raz z rosnącą samodzielnością nastolatków, rodzice naturalnie </w:t>
      </w:r>
      <w:r w:rsidRPr="00325EBB">
        <w:rPr>
          <w:rFonts w:cs="Calibri"/>
          <w:i/>
          <w:iCs/>
          <w:sz w:val="22"/>
          <w:szCs w:val="22"/>
        </w:rPr>
        <w:lastRenderedPageBreak/>
        <w:t xml:space="preserve">przechodzą na rozwiązania mobilne. </w:t>
      </w:r>
      <w:r w:rsidR="00247802" w:rsidRPr="00325EBB">
        <w:rPr>
          <w:rFonts w:cs="Calibri"/>
          <w:i/>
          <w:iCs/>
          <w:sz w:val="22"/>
          <w:szCs w:val="22"/>
        </w:rPr>
        <w:t>Zyskują dzięki temu duży komfort podczas wakacji. Nie muszą wręczać dziecku odgórnie sporej sumy w banknotach na cały obóz czy kolonię, co</w:t>
      </w:r>
      <w:r w:rsidR="00944204">
        <w:rPr>
          <w:rFonts w:cs="Calibri"/>
          <w:i/>
          <w:iCs/>
          <w:sz w:val="22"/>
          <w:szCs w:val="22"/>
        </w:rPr>
        <w:t xml:space="preserve"> mogłoby wiązać się </w:t>
      </w:r>
      <w:r w:rsidR="00247802" w:rsidRPr="00325EBB">
        <w:rPr>
          <w:rFonts w:cs="Calibri"/>
          <w:i/>
          <w:iCs/>
          <w:sz w:val="22"/>
          <w:szCs w:val="22"/>
        </w:rPr>
        <w:t>z ryzykiem</w:t>
      </w:r>
      <w:r w:rsidR="00FB752E">
        <w:rPr>
          <w:rFonts w:cs="Calibri"/>
          <w:i/>
          <w:iCs/>
          <w:sz w:val="22"/>
          <w:szCs w:val="22"/>
        </w:rPr>
        <w:t xml:space="preserve"> </w:t>
      </w:r>
      <w:r w:rsidR="00247802" w:rsidRPr="00325EBB">
        <w:rPr>
          <w:rFonts w:cs="Calibri"/>
          <w:i/>
          <w:iCs/>
          <w:sz w:val="22"/>
          <w:szCs w:val="22"/>
        </w:rPr>
        <w:t>zgubi</w:t>
      </w:r>
      <w:r w:rsidR="00944204">
        <w:rPr>
          <w:rFonts w:cs="Calibri"/>
          <w:i/>
          <w:iCs/>
          <w:sz w:val="22"/>
          <w:szCs w:val="22"/>
        </w:rPr>
        <w:t xml:space="preserve">enia całej </w:t>
      </w:r>
      <w:r w:rsidR="00FB752E">
        <w:rPr>
          <w:rFonts w:cs="Calibri"/>
          <w:i/>
          <w:iCs/>
          <w:sz w:val="22"/>
          <w:szCs w:val="22"/>
        </w:rPr>
        <w:t>gotówki</w:t>
      </w:r>
      <w:r w:rsidR="00247802" w:rsidRPr="00325EBB">
        <w:rPr>
          <w:rFonts w:cs="Calibri"/>
          <w:i/>
          <w:iCs/>
          <w:sz w:val="22"/>
          <w:szCs w:val="22"/>
        </w:rPr>
        <w:t xml:space="preserve">. Wolą reagować na bieżąco i w razie potrzeby podesłać </w:t>
      </w:r>
      <w:r w:rsidR="009E5A3F" w:rsidRPr="00325EBB">
        <w:rPr>
          <w:rFonts w:cs="Calibri"/>
          <w:i/>
          <w:iCs/>
          <w:sz w:val="22"/>
          <w:szCs w:val="22"/>
        </w:rPr>
        <w:t>odpowiednią kwotę</w:t>
      </w:r>
      <w:r w:rsidR="00247802" w:rsidRPr="00325EBB">
        <w:rPr>
          <w:rFonts w:cs="Calibri"/>
          <w:i/>
          <w:iCs/>
          <w:sz w:val="22"/>
          <w:szCs w:val="22"/>
        </w:rPr>
        <w:t xml:space="preserve"> w kilka sekund</w:t>
      </w:r>
      <w:r w:rsidR="00117E58">
        <w:rPr>
          <w:rFonts w:cs="Calibri"/>
          <w:sz w:val="22"/>
          <w:szCs w:val="22"/>
        </w:rPr>
        <w:t xml:space="preserve"> – dodaje.</w:t>
      </w:r>
    </w:p>
    <w:p w14:paraId="439D4DCF" w14:textId="4635080B" w:rsidR="001A72A1" w:rsidRPr="00E45A23" w:rsidRDefault="001A72A1" w:rsidP="001A72A1">
      <w:pPr>
        <w:jc w:val="both"/>
        <w:rPr>
          <w:rFonts w:cs="Calibri"/>
          <w:b/>
          <w:bCs/>
          <w:sz w:val="22"/>
          <w:szCs w:val="22"/>
        </w:rPr>
      </w:pPr>
      <w:r w:rsidRPr="00E45A23">
        <w:rPr>
          <w:rFonts w:cs="Calibri"/>
          <w:b/>
          <w:bCs/>
          <w:sz w:val="22"/>
          <w:szCs w:val="22"/>
        </w:rPr>
        <w:t>Kieszonkowe to już nie tylko drobne</w:t>
      </w:r>
    </w:p>
    <w:p w14:paraId="0E8E655C" w14:textId="2871EFFE" w:rsidR="00283FB4" w:rsidRPr="00283FB4" w:rsidRDefault="00283FB4" w:rsidP="00283FB4">
      <w:pPr>
        <w:jc w:val="both"/>
        <w:rPr>
          <w:rFonts w:cs="Calibri"/>
          <w:sz w:val="22"/>
          <w:szCs w:val="22"/>
        </w:rPr>
      </w:pPr>
      <w:r w:rsidRPr="00283FB4">
        <w:rPr>
          <w:rFonts w:cs="Calibri"/>
          <w:sz w:val="22"/>
          <w:szCs w:val="22"/>
        </w:rPr>
        <w:t>Kwoty przekazywane dzieciom są bardzo zróżnicowane. Najliczniejsza grupa rodziców, 37 proc., deklaruje, że ich dziecko otrzymuje ponad 300 zł miesięcznie. Niemal jedna czwarta wskazuje przedział od 101 do 200 zł, a po 13 proc. kwoty od 51 do 100 zł oraz od 201 do 300 zł.</w:t>
      </w:r>
    </w:p>
    <w:p w14:paraId="10DB8510" w14:textId="6FC800DB" w:rsidR="00283FB4" w:rsidRDefault="00283FB4" w:rsidP="00283FB4">
      <w:pPr>
        <w:jc w:val="both"/>
        <w:rPr>
          <w:rFonts w:cs="Calibri"/>
          <w:sz w:val="22"/>
          <w:szCs w:val="22"/>
        </w:rPr>
      </w:pPr>
      <w:r w:rsidRPr="00283FB4">
        <w:rPr>
          <w:rFonts w:cs="Calibri"/>
          <w:sz w:val="22"/>
          <w:szCs w:val="22"/>
        </w:rPr>
        <w:t>Wysokość dziecięcego budżetu wyraźnie rośnie wraz z wiekiem. W grupie 7-10 lat najczęściej jest to od 51 do 100 zł miesięcznie, natomiast po 15. roku życia dominują już kwoty przekraczające 300 zł. Otrzymuje je 46 proc. nastolatków w wieku 15-18 lat i 75 proc. młodych dorosłych. Z deklaracji ankietowanych wynika też, że wyższe kwoty częściej pojawiają się w mniejszych miejscowościach. W miastach do 50 tys. mieszkańców ponad 300 zł dostaje 47 proc. dzieci, podczas gdy w największych miastach wskazuje je 21 proc. rodziców. Tam najczęściej wybierany jest przedział od 101 do 200 zł.</w:t>
      </w:r>
    </w:p>
    <w:p w14:paraId="2B41CB42" w14:textId="14A231F0" w:rsidR="00035BA7" w:rsidRPr="00325EBB" w:rsidRDefault="00035BA7" w:rsidP="00E45A23">
      <w:pPr>
        <w:jc w:val="both"/>
        <w:rPr>
          <w:rFonts w:cs="Calibri"/>
          <w:b/>
          <w:bCs/>
          <w:sz w:val="22"/>
          <w:szCs w:val="22"/>
        </w:rPr>
      </w:pPr>
      <w:r w:rsidRPr="00035BA7">
        <w:rPr>
          <w:rFonts w:cs="Calibri"/>
          <w:b/>
          <w:bCs/>
          <w:sz w:val="22"/>
          <w:szCs w:val="22"/>
        </w:rPr>
        <w:t>Mały wydatek, duże znaczenie</w:t>
      </w:r>
    </w:p>
    <w:p w14:paraId="64027EB1" w14:textId="43175B03" w:rsidR="009074BE" w:rsidRPr="009074BE" w:rsidRDefault="009074BE" w:rsidP="009074BE">
      <w:pPr>
        <w:jc w:val="both"/>
        <w:rPr>
          <w:rFonts w:cs="Calibri"/>
          <w:sz w:val="22"/>
          <w:szCs w:val="22"/>
        </w:rPr>
      </w:pPr>
      <w:r w:rsidRPr="009074BE">
        <w:rPr>
          <w:rFonts w:cs="Calibri"/>
          <w:sz w:val="22"/>
          <w:szCs w:val="22"/>
        </w:rPr>
        <w:t xml:space="preserve">Wysokość dziecięcego budżetu nabiera znaczenia, gdy spojrzymy na cele wydatków. Wśród konkretnych odpowiedzi rodzice najczęściej wskazują spotkania, wyjścia i wspólne zajęcia z rówieśnikami (28 proc.). Słodycze i przekąski wymienia 19 proc. </w:t>
      </w:r>
      <w:r w:rsidR="00B012E3">
        <w:rPr>
          <w:rFonts w:cs="Calibri"/>
          <w:sz w:val="22"/>
          <w:szCs w:val="22"/>
        </w:rPr>
        <w:t>ankietowanych</w:t>
      </w:r>
      <w:r w:rsidRPr="009074BE">
        <w:rPr>
          <w:rFonts w:cs="Calibri"/>
          <w:sz w:val="22"/>
          <w:szCs w:val="22"/>
        </w:rPr>
        <w:t>, a odkładanie pieniędzy na większy zakup 11 proc.</w:t>
      </w:r>
    </w:p>
    <w:p w14:paraId="30671B92" w14:textId="33927B12" w:rsidR="009074BE" w:rsidRPr="009074BE" w:rsidRDefault="009074BE" w:rsidP="009074BE">
      <w:pPr>
        <w:jc w:val="both"/>
        <w:rPr>
          <w:rFonts w:cs="Calibri"/>
          <w:sz w:val="22"/>
          <w:szCs w:val="22"/>
        </w:rPr>
      </w:pPr>
      <w:r w:rsidRPr="009074BE">
        <w:rPr>
          <w:rFonts w:cs="Calibri"/>
          <w:sz w:val="22"/>
          <w:szCs w:val="22"/>
        </w:rPr>
        <w:t xml:space="preserve">Wpływ grupy jest widoczny także w prośbach kierowanych do rodziców. </w:t>
      </w:r>
      <w:r w:rsidR="00B012E3">
        <w:rPr>
          <w:rFonts w:cs="Calibri"/>
          <w:sz w:val="22"/>
          <w:szCs w:val="22"/>
        </w:rPr>
        <w:t>Ponad dwie trzecie</w:t>
      </w:r>
      <w:r w:rsidRPr="009074BE">
        <w:rPr>
          <w:rFonts w:cs="Calibri"/>
          <w:sz w:val="22"/>
          <w:szCs w:val="22"/>
        </w:rPr>
        <w:t xml:space="preserve"> badanych przyznaje, że ich dziecko chciało kupić rzecz lub wziąć udział w aktywności, ponieważ korzystali z niej koledzy lub koleżanki. U </w:t>
      </w:r>
      <w:r w:rsidR="004E47FD">
        <w:rPr>
          <w:rFonts w:cs="Calibri"/>
          <w:sz w:val="22"/>
          <w:szCs w:val="22"/>
        </w:rPr>
        <w:t>prawie jednej trzeciej</w:t>
      </w:r>
      <w:r w:rsidRPr="009074BE">
        <w:rPr>
          <w:rFonts w:cs="Calibri"/>
          <w:sz w:val="22"/>
          <w:szCs w:val="22"/>
        </w:rPr>
        <w:t xml:space="preserve"> takie sytuacje zdarzały się wielokrotnie. Jednocześnie 12 proc. rodziców deklaruje, że ich dziecko przynajmniej raz zrezygnowało ze wspólnego wyjścia lub zajęcia z powodów finansowych. </w:t>
      </w:r>
      <w:r w:rsidR="004E47FD">
        <w:rPr>
          <w:rFonts w:cs="Calibri"/>
          <w:sz w:val="22"/>
          <w:szCs w:val="22"/>
        </w:rPr>
        <w:t>Co ciekawe, w</w:t>
      </w:r>
      <w:r w:rsidRPr="009074BE">
        <w:rPr>
          <w:rFonts w:cs="Calibri"/>
          <w:sz w:val="22"/>
          <w:szCs w:val="22"/>
        </w:rPr>
        <w:t xml:space="preserve"> największych miastach odsetek ten sięga </w:t>
      </w:r>
      <w:r w:rsidR="00514676" w:rsidRPr="009074BE">
        <w:rPr>
          <w:rFonts w:cs="Calibri"/>
          <w:sz w:val="22"/>
          <w:szCs w:val="22"/>
        </w:rPr>
        <w:t>2</w:t>
      </w:r>
      <w:r w:rsidR="00514676">
        <w:rPr>
          <w:rFonts w:cs="Calibri"/>
          <w:sz w:val="22"/>
          <w:szCs w:val="22"/>
        </w:rPr>
        <w:t>5</w:t>
      </w:r>
      <w:r w:rsidR="00514676" w:rsidRPr="009074BE">
        <w:rPr>
          <w:rFonts w:cs="Calibri"/>
          <w:sz w:val="22"/>
          <w:szCs w:val="22"/>
        </w:rPr>
        <w:t xml:space="preserve"> </w:t>
      </w:r>
      <w:r w:rsidRPr="009074BE">
        <w:rPr>
          <w:rFonts w:cs="Calibri"/>
          <w:sz w:val="22"/>
          <w:szCs w:val="22"/>
        </w:rPr>
        <w:t>proc.</w:t>
      </w:r>
    </w:p>
    <w:p w14:paraId="36131487" w14:textId="77777777" w:rsidR="00CF126C" w:rsidRDefault="009074BE" w:rsidP="000520F0">
      <w:pPr>
        <w:jc w:val="both"/>
        <w:rPr>
          <w:rFonts w:cs="Calibri"/>
          <w:sz w:val="22"/>
          <w:szCs w:val="22"/>
        </w:rPr>
      </w:pPr>
      <w:r w:rsidRPr="009074BE">
        <w:rPr>
          <w:rFonts w:cs="Calibri"/>
          <w:sz w:val="22"/>
          <w:szCs w:val="22"/>
        </w:rPr>
        <w:t>–</w:t>
      </w:r>
      <w:r w:rsidR="007C54FF">
        <w:rPr>
          <w:rFonts w:cs="Calibri"/>
          <w:sz w:val="22"/>
          <w:szCs w:val="22"/>
        </w:rPr>
        <w:t xml:space="preserve"> </w:t>
      </w:r>
      <w:r w:rsidR="007C54FF" w:rsidRPr="00325EBB">
        <w:rPr>
          <w:rFonts w:cs="Calibri"/>
          <w:i/>
          <w:iCs/>
          <w:sz w:val="22"/>
          <w:szCs w:val="22"/>
        </w:rPr>
        <w:t>Z perspektywy dorosłego bilet do kina, składka na wycieczkę czy wyjście ze znajomymi mogą wydawać się drobnymi wydatkami. Dla młodej osoby często decydują jednak o tym, czy spędzi czas razem z grupą, czy będzie musiała zrezygnować. Nie każde dziecko ma też tyle samo okazji, by samodzielnie gospodarować pieniędzmi i stopniowo uczyć się odpowiedzialności za własne decyzje. Dlatego we współpracy z SOS Wioskami Dziecięcymi chcemy wspierać młodych ludzi w zdobywaniu takich codziennych doświadczeń, bez stawiania ich w innej pozycji niż ich rówieśnicy. W ramach akcji użytkownicy mogą przekazywać wpłaty na rzecz organizacji, a BLIK zwiększa każdą z nich o dodatkową złotówkę</w:t>
      </w:r>
      <w:r w:rsidR="007C54FF">
        <w:rPr>
          <w:rFonts w:cs="Calibri"/>
          <w:sz w:val="22"/>
          <w:szCs w:val="22"/>
        </w:rPr>
        <w:t xml:space="preserve"> </w:t>
      </w:r>
      <w:r w:rsidRPr="009074BE">
        <w:rPr>
          <w:rFonts w:cs="Calibri"/>
          <w:sz w:val="22"/>
          <w:szCs w:val="22"/>
        </w:rPr>
        <w:t xml:space="preserve">– </w:t>
      </w:r>
      <w:r w:rsidR="00C22627">
        <w:rPr>
          <w:rFonts w:cs="Calibri"/>
          <w:sz w:val="22"/>
          <w:szCs w:val="22"/>
        </w:rPr>
        <w:t>dodaje</w:t>
      </w:r>
      <w:r w:rsidRPr="009074BE">
        <w:rPr>
          <w:rFonts w:cs="Calibri"/>
          <w:sz w:val="22"/>
          <w:szCs w:val="22"/>
        </w:rPr>
        <w:t xml:space="preserve"> </w:t>
      </w:r>
      <w:r w:rsidRPr="00533E28">
        <w:rPr>
          <w:rFonts w:cs="Calibri"/>
          <w:b/>
          <w:bCs/>
          <w:sz w:val="22"/>
          <w:szCs w:val="22"/>
        </w:rPr>
        <w:t>Krzysztof Ziewiec</w:t>
      </w:r>
      <w:r w:rsidR="00C22627">
        <w:rPr>
          <w:rFonts w:cs="Calibri"/>
          <w:sz w:val="22"/>
          <w:szCs w:val="22"/>
        </w:rPr>
        <w:t>.</w:t>
      </w:r>
    </w:p>
    <w:p w14:paraId="20B01401" w14:textId="77777777" w:rsidR="00533E28" w:rsidRPr="00940A79" w:rsidRDefault="00533E28" w:rsidP="00533E28">
      <w:pPr>
        <w:jc w:val="both"/>
        <w:rPr>
          <w:rFonts w:cs="Calibri"/>
          <w:b/>
          <w:bCs/>
          <w:sz w:val="22"/>
          <w:szCs w:val="22"/>
        </w:rPr>
      </w:pPr>
      <w:r w:rsidRPr="00940A79">
        <w:rPr>
          <w:rFonts w:cs="Calibri"/>
          <w:b/>
          <w:bCs/>
          <w:sz w:val="22"/>
          <w:szCs w:val="22"/>
        </w:rPr>
        <w:t>Jak wesprzeć akcję?</w:t>
      </w:r>
    </w:p>
    <w:p w14:paraId="1DFC25B5" w14:textId="77777777" w:rsidR="00533E28" w:rsidRPr="00940A79" w:rsidRDefault="00533E28" w:rsidP="00533E28">
      <w:pPr>
        <w:jc w:val="both"/>
        <w:rPr>
          <w:rFonts w:cs="Calibri"/>
          <w:sz w:val="22"/>
          <w:szCs w:val="22"/>
        </w:rPr>
      </w:pPr>
    </w:p>
    <w:p w14:paraId="67A2FFBF" w14:textId="6D3F6532" w:rsidR="00514676" w:rsidRDefault="00533E28" w:rsidP="00533E28">
      <w:pPr>
        <w:jc w:val="both"/>
        <w:rPr>
          <w:rFonts w:cs="Calibri"/>
          <w:sz w:val="22"/>
          <w:szCs w:val="22"/>
        </w:rPr>
      </w:pPr>
      <w:r w:rsidRPr="00940A79">
        <w:rPr>
          <w:rFonts w:cs="Calibri"/>
          <w:sz w:val="22"/>
          <w:szCs w:val="22"/>
        </w:rPr>
        <w:lastRenderedPageBreak/>
        <w:t>Do 23 lipca 2026 r. użytkownicy BLIKA mogą wspierać podopiecznych SOS Wiosek Dziecięcych, przekazując wpłatę przelewem na telefon BLIK na numer 731 403 403. BLIK dopłaci złotówkę do każdej wpłaty, a łączna pula dodatkowego wsparcia może wynieść nawet 1 mln zł.</w:t>
      </w:r>
    </w:p>
    <w:p w14:paraId="3EE7B380" w14:textId="5E106582" w:rsidR="000A5C20" w:rsidRDefault="000A5C20" w:rsidP="000520F0">
      <w:pPr>
        <w:jc w:val="both"/>
        <w:rPr>
          <w:rFonts w:cs="Calibri"/>
          <w:b/>
          <w:bCs/>
          <w:sz w:val="18"/>
          <w:szCs w:val="18"/>
        </w:rPr>
      </w:pPr>
      <w:r w:rsidRPr="000A5C20">
        <w:rPr>
          <w:rFonts w:cs="Calibri"/>
          <w:b/>
          <w:bCs/>
          <w:sz w:val="18"/>
          <w:szCs w:val="18"/>
        </w:rPr>
        <w:t>O badaniu:</w:t>
      </w:r>
    </w:p>
    <w:p w14:paraId="4C88A9C9" w14:textId="76B1BD08" w:rsidR="000A5C20" w:rsidRPr="000A5C20" w:rsidRDefault="008C2080" w:rsidP="000520F0">
      <w:pPr>
        <w:jc w:val="both"/>
        <w:rPr>
          <w:rFonts w:cs="Calibri"/>
          <w:b/>
          <w:bCs/>
          <w:sz w:val="18"/>
          <w:szCs w:val="18"/>
        </w:rPr>
      </w:pPr>
      <w:r w:rsidRPr="008C2080">
        <w:rPr>
          <w:rFonts w:cs="Calibri"/>
          <w:sz w:val="18"/>
          <w:szCs w:val="18"/>
        </w:rPr>
        <w:t xml:space="preserve">Badanie zostało zrealizowane przez </w:t>
      </w:r>
      <w:proofErr w:type="spellStart"/>
      <w:r w:rsidRPr="008C2080">
        <w:rPr>
          <w:rFonts w:cs="Calibri"/>
          <w:sz w:val="18"/>
          <w:szCs w:val="18"/>
        </w:rPr>
        <w:t>IBRiS</w:t>
      </w:r>
      <w:proofErr w:type="spellEnd"/>
      <w:r w:rsidRPr="008C2080">
        <w:rPr>
          <w:rFonts w:cs="Calibri"/>
          <w:sz w:val="18"/>
          <w:szCs w:val="18"/>
        </w:rPr>
        <w:t xml:space="preserve"> na zlecenie BLIKA w dniach 19</w:t>
      </w:r>
      <w:r>
        <w:rPr>
          <w:rFonts w:cs="Calibri"/>
          <w:sz w:val="18"/>
          <w:szCs w:val="18"/>
        </w:rPr>
        <w:t>-</w:t>
      </w:r>
      <w:r w:rsidRPr="008C2080">
        <w:rPr>
          <w:rFonts w:cs="Calibri"/>
          <w:sz w:val="18"/>
          <w:szCs w:val="18"/>
        </w:rPr>
        <w:t>21 czerwca 2026 roku. Przeprowadzono je metodą telefonicznych, standaryzowanych wywiadów kwestionariuszowych wspomaganych komputerowo (CATI) na ogólnopolskiej próbie 359 rodziców i opiekunów deklarujących posiadanie dzieci na utrzymaniu.</w:t>
      </w:r>
    </w:p>
    <w:p w14:paraId="12DEE7B5" w14:textId="77777777" w:rsidR="00BC74FD" w:rsidRPr="00BF4426" w:rsidRDefault="00BC74FD" w:rsidP="00BC74FD">
      <w:pPr>
        <w:jc w:val="center"/>
        <w:rPr>
          <w:b/>
          <w:bCs/>
          <w:sz w:val="22"/>
          <w:szCs w:val="22"/>
        </w:rPr>
      </w:pPr>
      <w:r w:rsidRPr="00BF4426">
        <w:rPr>
          <w:b/>
          <w:bCs/>
          <w:sz w:val="22"/>
          <w:szCs w:val="22"/>
        </w:rPr>
        <w:t>***</w:t>
      </w:r>
    </w:p>
    <w:p w14:paraId="0C6BCD5E" w14:textId="77777777" w:rsidR="00BC74FD" w:rsidRPr="00E247FE" w:rsidRDefault="00BC74FD" w:rsidP="00BC74FD">
      <w:pPr>
        <w:jc w:val="both"/>
        <w:rPr>
          <w:sz w:val="20"/>
          <w:szCs w:val="20"/>
        </w:rPr>
      </w:pPr>
      <w:r w:rsidRPr="00E247FE">
        <w:rPr>
          <w:b/>
          <w:bCs/>
          <w:sz w:val="20"/>
          <w:szCs w:val="20"/>
        </w:rPr>
        <w:t>BLIK</w:t>
      </w:r>
      <w:r w:rsidRPr="00E247FE">
        <w:rPr>
          <w:sz w:val="20"/>
          <w:szCs w:val="20"/>
        </w:rPr>
        <w:t xml:space="preserve"> 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Erste Bank Polska, ING Bank Śląski, mBank, PKO Bank Polski oraz Mastercard.</w:t>
      </w:r>
    </w:p>
    <w:p w14:paraId="1EB254FC" w14:textId="77777777" w:rsidR="00BC74FD" w:rsidRPr="00E247FE" w:rsidRDefault="00BC74FD" w:rsidP="00BC74FD">
      <w:pPr>
        <w:rPr>
          <w:b/>
          <w:bCs/>
          <w:sz w:val="20"/>
          <w:szCs w:val="20"/>
        </w:rPr>
      </w:pPr>
    </w:p>
    <w:p w14:paraId="3A73061D" w14:textId="77777777" w:rsidR="00BC74FD" w:rsidRPr="00E247FE" w:rsidRDefault="00BC74FD" w:rsidP="00BC74FD">
      <w:pPr>
        <w:rPr>
          <w:b/>
          <w:bCs/>
          <w:sz w:val="20"/>
          <w:szCs w:val="20"/>
        </w:rPr>
      </w:pPr>
      <w:r w:rsidRPr="00E247FE">
        <w:rPr>
          <w:b/>
          <w:bCs/>
          <w:sz w:val="20"/>
          <w:szCs w:val="20"/>
        </w:rPr>
        <w:t>Kontakt dla mediów:</w:t>
      </w:r>
    </w:p>
    <w:p w14:paraId="69BE53B6" w14:textId="77777777" w:rsidR="00BC74FD" w:rsidRPr="00E247FE" w:rsidRDefault="00BC74FD" w:rsidP="00BC74FD">
      <w:pPr>
        <w:spacing w:after="0"/>
        <w:rPr>
          <w:sz w:val="20"/>
          <w:szCs w:val="20"/>
        </w:rPr>
      </w:pPr>
      <w:r w:rsidRPr="00E247FE">
        <w:rPr>
          <w:sz w:val="20"/>
          <w:szCs w:val="20"/>
        </w:rPr>
        <w:t>Klaudia Rombalska</w:t>
      </w:r>
    </w:p>
    <w:p w14:paraId="459E4A67" w14:textId="77777777" w:rsidR="00BC74FD" w:rsidRPr="00E247FE" w:rsidRDefault="00BC74FD" w:rsidP="00BC74FD">
      <w:pPr>
        <w:spacing w:after="0"/>
        <w:rPr>
          <w:sz w:val="20"/>
          <w:szCs w:val="20"/>
        </w:rPr>
      </w:pPr>
      <w:r w:rsidRPr="00E247FE">
        <w:rPr>
          <w:sz w:val="20"/>
          <w:szCs w:val="20"/>
        </w:rPr>
        <w:t>Biuro prasowe BLIK</w:t>
      </w:r>
    </w:p>
    <w:p w14:paraId="649930BA" w14:textId="77777777" w:rsidR="00BC74FD" w:rsidRPr="000623C9" w:rsidRDefault="00BC74FD" w:rsidP="00BC74FD">
      <w:pPr>
        <w:jc w:val="both"/>
        <w:rPr>
          <w:sz w:val="22"/>
          <w:szCs w:val="22"/>
        </w:rPr>
      </w:pPr>
      <w:hyperlink w:history="1">
        <w:r w:rsidRPr="00E247FE">
          <w:rPr>
            <w:rStyle w:val="Hipercze"/>
            <w:sz w:val="20"/>
            <w:szCs w:val="20"/>
          </w:rPr>
          <w:t>klaudia.rombalska@clearcom.pl</w:t>
        </w:r>
      </w:hyperlink>
      <w:r w:rsidRPr="00E247FE">
        <w:rPr>
          <w:sz w:val="20"/>
          <w:szCs w:val="20"/>
        </w:rPr>
        <w:t xml:space="preserve"> </w:t>
      </w:r>
    </w:p>
    <w:p w14:paraId="6E5993D9" w14:textId="77777777" w:rsidR="00996BBE" w:rsidRPr="00C91A53" w:rsidRDefault="00996BBE" w:rsidP="00EB2764">
      <w:pPr>
        <w:jc w:val="both"/>
        <w:rPr>
          <w:rFonts w:cs="Calibri"/>
        </w:rPr>
      </w:pPr>
    </w:p>
    <w:sectPr w:rsidR="00996BBE" w:rsidRPr="00C91A5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28D9" w14:textId="77777777" w:rsidR="00C75987" w:rsidRDefault="00C75987" w:rsidP="00BC1531">
      <w:pPr>
        <w:spacing w:after="0" w:line="240" w:lineRule="auto"/>
      </w:pPr>
      <w:r>
        <w:separator/>
      </w:r>
    </w:p>
  </w:endnote>
  <w:endnote w:type="continuationSeparator" w:id="0">
    <w:p w14:paraId="6100282B" w14:textId="77777777" w:rsidR="00C75987" w:rsidRDefault="00C75987" w:rsidP="00BC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45E7" w14:textId="77777777" w:rsidR="00C75987" w:rsidRDefault="00C75987" w:rsidP="00BC1531">
      <w:pPr>
        <w:spacing w:after="0" w:line="240" w:lineRule="auto"/>
      </w:pPr>
      <w:r>
        <w:separator/>
      </w:r>
    </w:p>
  </w:footnote>
  <w:footnote w:type="continuationSeparator" w:id="0">
    <w:p w14:paraId="4FB796CF" w14:textId="77777777" w:rsidR="00C75987" w:rsidRDefault="00C75987" w:rsidP="00BC1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5466" w14:textId="6A7633EC" w:rsidR="00BC1531" w:rsidRDefault="00FE3411">
    <w:pPr>
      <w:pStyle w:val="Nagwek"/>
    </w:pPr>
    <w:r>
      <w:rPr>
        <w:noProof/>
      </w:rPr>
      <w:drawing>
        <wp:inline distT="0" distB="0" distL="0" distR="0" wp14:anchorId="7B3AA8E5" wp14:editId="040261FF">
          <wp:extent cx="5553710" cy="1097280"/>
          <wp:effectExtent l="0" t="0" r="8890" b="0"/>
          <wp:docPr id="174057675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3710" cy="10972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64"/>
    <w:rsid w:val="00015792"/>
    <w:rsid w:val="00035BA7"/>
    <w:rsid w:val="00040AC4"/>
    <w:rsid w:val="000520F0"/>
    <w:rsid w:val="000629E2"/>
    <w:rsid w:val="0006311D"/>
    <w:rsid w:val="00063AC9"/>
    <w:rsid w:val="00076B2A"/>
    <w:rsid w:val="00077383"/>
    <w:rsid w:val="0008665B"/>
    <w:rsid w:val="000A302A"/>
    <w:rsid w:val="000A5C20"/>
    <w:rsid w:val="000B3E79"/>
    <w:rsid w:val="000B63B2"/>
    <w:rsid w:val="000C5AAA"/>
    <w:rsid w:val="000D58A3"/>
    <w:rsid w:val="000F71EC"/>
    <w:rsid w:val="00103C16"/>
    <w:rsid w:val="001157AA"/>
    <w:rsid w:val="00117E58"/>
    <w:rsid w:val="00126AF8"/>
    <w:rsid w:val="00127CB7"/>
    <w:rsid w:val="0015274F"/>
    <w:rsid w:val="00161FA0"/>
    <w:rsid w:val="0016423B"/>
    <w:rsid w:val="001912F9"/>
    <w:rsid w:val="00192CDA"/>
    <w:rsid w:val="001A7092"/>
    <w:rsid w:val="001A72A1"/>
    <w:rsid w:val="001B180F"/>
    <w:rsid w:val="001B48B3"/>
    <w:rsid w:val="001C08EC"/>
    <w:rsid w:val="001C1430"/>
    <w:rsid w:val="001E216B"/>
    <w:rsid w:val="001F3A56"/>
    <w:rsid w:val="00240248"/>
    <w:rsid w:val="00247802"/>
    <w:rsid w:val="0025092F"/>
    <w:rsid w:val="00251AEB"/>
    <w:rsid w:val="00253523"/>
    <w:rsid w:val="00264558"/>
    <w:rsid w:val="00276D48"/>
    <w:rsid w:val="002777E4"/>
    <w:rsid w:val="00280DFD"/>
    <w:rsid w:val="00283FB4"/>
    <w:rsid w:val="00290B01"/>
    <w:rsid w:val="002A4AAD"/>
    <w:rsid w:val="002C0595"/>
    <w:rsid w:val="002C3740"/>
    <w:rsid w:val="002D52C6"/>
    <w:rsid w:val="003215A2"/>
    <w:rsid w:val="00325EBB"/>
    <w:rsid w:val="00353EA5"/>
    <w:rsid w:val="0035665F"/>
    <w:rsid w:val="0035702B"/>
    <w:rsid w:val="003863AD"/>
    <w:rsid w:val="003A581E"/>
    <w:rsid w:val="003A5A62"/>
    <w:rsid w:val="003B1384"/>
    <w:rsid w:val="003D0D97"/>
    <w:rsid w:val="003E5B5A"/>
    <w:rsid w:val="003E7E8D"/>
    <w:rsid w:val="00426E93"/>
    <w:rsid w:val="00431369"/>
    <w:rsid w:val="00450249"/>
    <w:rsid w:val="00453F94"/>
    <w:rsid w:val="00465095"/>
    <w:rsid w:val="0049255E"/>
    <w:rsid w:val="00492CB3"/>
    <w:rsid w:val="004A754E"/>
    <w:rsid w:val="004B2385"/>
    <w:rsid w:val="004C50B0"/>
    <w:rsid w:val="004E47FD"/>
    <w:rsid w:val="00514676"/>
    <w:rsid w:val="005269F8"/>
    <w:rsid w:val="0053148F"/>
    <w:rsid w:val="00533E28"/>
    <w:rsid w:val="00565479"/>
    <w:rsid w:val="0056669A"/>
    <w:rsid w:val="005965BE"/>
    <w:rsid w:val="005A49B9"/>
    <w:rsid w:val="005F7B37"/>
    <w:rsid w:val="00617A17"/>
    <w:rsid w:val="0063622B"/>
    <w:rsid w:val="00660B23"/>
    <w:rsid w:val="00667D79"/>
    <w:rsid w:val="00667EB5"/>
    <w:rsid w:val="0067188E"/>
    <w:rsid w:val="00675A6E"/>
    <w:rsid w:val="006966BD"/>
    <w:rsid w:val="006A10E8"/>
    <w:rsid w:val="006A2406"/>
    <w:rsid w:val="006A4946"/>
    <w:rsid w:val="006B783C"/>
    <w:rsid w:val="006F14B3"/>
    <w:rsid w:val="00706F58"/>
    <w:rsid w:val="007176E4"/>
    <w:rsid w:val="0072648D"/>
    <w:rsid w:val="00726643"/>
    <w:rsid w:val="0076446F"/>
    <w:rsid w:val="00767D3E"/>
    <w:rsid w:val="00781C3C"/>
    <w:rsid w:val="00782889"/>
    <w:rsid w:val="00792680"/>
    <w:rsid w:val="007964FE"/>
    <w:rsid w:val="007A600A"/>
    <w:rsid w:val="007A6831"/>
    <w:rsid w:val="007C54FF"/>
    <w:rsid w:val="007C5D42"/>
    <w:rsid w:val="007D2169"/>
    <w:rsid w:val="007E720C"/>
    <w:rsid w:val="00833F4A"/>
    <w:rsid w:val="0083564C"/>
    <w:rsid w:val="00855D27"/>
    <w:rsid w:val="0088030C"/>
    <w:rsid w:val="008C0BCC"/>
    <w:rsid w:val="008C2080"/>
    <w:rsid w:val="008E074D"/>
    <w:rsid w:val="008E2B86"/>
    <w:rsid w:val="008F23B3"/>
    <w:rsid w:val="009074BE"/>
    <w:rsid w:val="00907DBE"/>
    <w:rsid w:val="00936D50"/>
    <w:rsid w:val="00940A79"/>
    <w:rsid w:val="00944204"/>
    <w:rsid w:val="00947100"/>
    <w:rsid w:val="009537EB"/>
    <w:rsid w:val="00970F4F"/>
    <w:rsid w:val="00996BBE"/>
    <w:rsid w:val="009A7CD7"/>
    <w:rsid w:val="009D1A29"/>
    <w:rsid w:val="009D1E36"/>
    <w:rsid w:val="009E5A3F"/>
    <w:rsid w:val="00A04619"/>
    <w:rsid w:val="00A1654A"/>
    <w:rsid w:val="00A17197"/>
    <w:rsid w:val="00A47415"/>
    <w:rsid w:val="00A569CF"/>
    <w:rsid w:val="00A617ED"/>
    <w:rsid w:val="00A76FA0"/>
    <w:rsid w:val="00AA481F"/>
    <w:rsid w:val="00AB5FE5"/>
    <w:rsid w:val="00AB7C74"/>
    <w:rsid w:val="00AD08C2"/>
    <w:rsid w:val="00B0050E"/>
    <w:rsid w:val="00B012E3"/>
    <w:rsid w:val="00B12A76"/>
    <w:rsid w:val="00B30BAF"/>
    <w:rsid w:val="00B34B10"/>
    <w:rsid w:val="00B45048"/>
    <w:rsid w:val="00B71A71"/>
    <w:rsid w:val="00B819B6"/>
    <w:rsid w:val="00B90F36"/>
    <w:rsid w:val="00B935DA"/>
    <w:rsid w:val="00B9782B"/>
    <w:rsid w:val="00BC1531"/>
    <w:rsid w:val="00BC74FD"/>
    <w:rsid w:val="00BD7F48"/>
    <w:rsid w:val="00BF3872"/>
    <w:rsid w:val="00C17549"/>
    <w:rsid w:val="00C22627"/>
    <w:rsid w:val="00C244ED"/>
    <w:rsid w:val="00C45D0E"/>
    <w:rsid w:val="00C50966"/>
    <w:rsid w:val="00C52D90"/>
    <w:rsid w:val="00C64392"/>
    <w:rsid w:val="00C75987"/>
    <w:rsid w:val="00C91A53"/>
    <w:rsid w:val="00CA283E"/>
    <w:rsid w:val="00CA40B3"/>
    <w:rsid w:val="00CB7668"/>
    <w:rsid w:val="00CC6967"/>
    <w:rsid w:val="00CE0AF7"/>
    <w:rsid w:val="00CE1A22"/>
    <w:rsid w:val="00CF059A"/>
    <w:rsid w:val="00CF126C"/>
    <w:rsid w:val="00CF6242"/>
    <w:rsid w:val="00CF7948"/>
    <w:rsid w:val="00D03B91"/>
    <w:rsid w:val="00D17A54"/>
    <w:rsid w:val="00D23140"/>
    <w:rsid w:val="00D242FD"/>
    <w:rsid w:val="00D3336A"/>
    <w:rsid w:val="00D34460"/>
    <w:rsid w:val="00D36D5F"/>
    <w:rsid w:val="00D40D13"/>
    <w:rsid w:val="00D52446"/>
    <w:rsid w:val="00D82772"/>
    <w:rsid w:val="00DB120B"/>
    <w:rsid w:val="00DB7B8F"/>
    <w:rsid w:val="00DC68C2"/>
    <w:rsid w:val="00E07859"/>
    <w:rsid w:val="00E1573F"/>
    <w:rsid w:val="00E45A23"/>
    <w:rsid w:val="00E66077"/>
    <w:rsid w:val="00E84A8C"/>
    <w:rsid w:val="00EB2764"/>
    <w:rsid w:val="00EC34A1"/>
    <w:rsid w:val="00ED071C"/>
    <w:rsid w:val="00EE4A68"/>
    <w:rsid w:val="00F03A1F"/>
    <w:rsid w:val="00F20BB8"/>
    <w:rsid w:val="00F33304"/>
    <w:rsid w:val="00F3577D"/>
    <w:rsid w:val="00F3755E"/>
    <w:rsid w:val="00F47AD1"/>
    <w:rsid w:val="00F53A17"/>
    <w:rsid w:val="00F54AB3"/>
    <w:rsid w:val="00F624BF"/>
    <w:rsid w:val="00F663E7"/>
    <w:rsid w:val="00F7144A"/>
    <w:rsid w:val="00F736AE"/>
    <w:rsid w:val="00F85065"/>
    <w:rsid w:val="00F97708"/>
    <w:rsid w:val="00FB752E"/>
    <w:rsid w:val="00FE3411"/>
    <w:rsid w:val="00FF07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FB7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B2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B2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B276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B276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B276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B276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B276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B276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B276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B276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B276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B276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B276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B276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B27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B27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B27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B2764"/>
    <w:rPr>
      <w:rFonts w:eastAsiaTheme="majorEastAsia" w:cstheme="majorBidi"/>
      <w:color w:val="272727" w:themeColor="text1" w:themeTint="D8"/>
    </w:rPr>
  </w:style>
  <w:style w:type="paragraph" w:styleId="Tytu">
    <w:name w:val="Title"/>
    <w:basedOn w:val="Normalny"/>
    <w:next w:val="Normalny"/>
    <w:link w:val="TytuZnak"/>
    <w:uiPriority w:val="10"/>
    <w:qFormat/>
    <w:rsid w:val="00EB2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B27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B276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B27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B2764"/>
    <w:pPr>
      <w:spacing w:before="160"/>
      <w:jc w:val="center"/>
    </w:pPr>
    <w:rPr>
      <w:i/>
      <w:iCs/>
      <w:color w:val="404040" w:themeColor="text1" w:themeTint="BF"/>
    </w:rPr>
  </w:style>
  <w:style w:type="character" w:customStyle="1" w:styleId="CytatZnak">
    <w:name w:val="Cytat Znak"/>
    <w:basedOn w:val="Domylnaczcionkaakapitu"/>
    <w:link w:val="Cytat"/>
    <w:uiPriority w:val="29"/>
    <w:rsid w:val="00EB2764"/>
    <w:rPr>
      <w:i/>
      <w:iCs/>
      <w:color w:val="404040" w:themeColor="text1" w:themeTint="BF"/>
    </w:rPr>
  </w:style>
  <w:style w:type="paragraph" w:styleId="Akapitzlist">
    <w:name w:val="List Paragraph"/>
    <w:basedOn w:val="Normalny"/>
    <w:uiPriority w:val="34"/>
    <w:qFormat/>
    <w:rsid w:val="00EB2764"/>
    <w:pPr>
      <w:ind w:left="720"/>
      <w:contextualSpacing/>
    </w:pPr>
  </w:style>
  <w:style w:type="character" w:styleId="Wyrnienieintensywne">
    <w:name w:val="Intense Emphasis"/>
    <w:basedOn w:val="Domylnaczcionkaakapitu"/>
    <w:uiPriority w:val="21"/>
    <w:qFormat/>
    <w:rsid w:val="00EB2764"/>
    <w:rPr>
      <w:i/>
      <w:iCs/>
      <w:color w:val="0F4761" w:themeColor="accent1" w:themeShade="BF"/>
    </w:rPr>
  </w:style>
  <w:style w:type="paragraph" w:styleId="Cytatintensywny">
    <w:name w:val="Intense Quote"/>
    <w:basedOn w:val="Normalny"/>
    <w:next w:val="Normalny"/>
    <w:link w:val="CytatintensywnyZnak"/>
    <w:uiPriority w:val="30"/>
    <w:qFormat/>
    <w:rsid w:val="00EB2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B2764"/>
    <w:rPr>
      <w:i/>
      <w:iCs/>
      <w:color w:val="0F4761" w:themeColor="accent1" w:themeShade="BF"/>
    </w:rPr>
  </w:style>
  <w:style w:type="character" w:styleId="Odwoanieintensywne">
    <w:name w:val="Intense Reference"/>
    <w:basedOn w:val="Domylnaczcionkaakapitu"/>
    <w:uiPriority w:val="32"/>
    <w:qFormat/>
    <w:rsid w:val="00EB2764"/>
    <w:rPr>
      <w:b/>
      <w:bCs/>
      <w:smallCaps/>
      <w:color w:val="0F4761" w:themeColor="accent1" w:themeShade="BF"/>
      <w:spacing w:val="5"/>
    </w:rPr>
  </w:style>
  <w:style w:type="paragraph" w:styleId="Poprawka">
    <w:name w:val="Revision"/>
    <w:hidden/>
    <w:uiPriority w:val="99"/>
    <w:semiHidden/>
    <w:rsid w:val="009D1E36"/>
    <w:pPr>
      <w:spacing w:after="0" w:line="240" w:lineRule="auto"/>
    </w:pPr>
  </w:style>
  <w:style w:type="character" w:styleId="Odwoaniedokomentarza">
    <w:name w:val="annotation reference"/>
    <w:basedOn w:val="Domylnaczcionkaakapitu"/>
    <w:uiPriority w:val="99"/>
    <w:semiHidden/>
    <w:unhideWhenUsed/>
    <w:rsid w:val="009D1E36"/>
    <w:rPr>
      <w:sz w:val="16"/>
      <w:szCs w:val="16"/>
    </w:rPr>
  </w:style>
  <w:style w:type="paragraph" w:styleId="Tekstkomentarza">
    <w:name w:val="annotation text"/>
    <w:basedOn w:val="Normalny"/>
    <w:link w:val="TekstkomentarzaZnak"/>
    <w:uiPriority w:val="99"/>
    <w:unhideWhenUsed/>
    <w:rsid w:val="009D1E36"/>
    <w:pPr>
      <w:spacing w:line="240" w:lineRule="auto"/>
    </w:pPr>
    <w:rPr>
      <w:sz w:val="20"/>
      <w:szCs w:val="20"/>
    </w:rPr>
  </w:style>
  <w:style w:type="character" w:customStyle="1" w:styleId="TekstkomentarzaZnak">
    <w:name w:val="Tekst komentarza Znak"/>
    <w:basedOn w:val="Domylnaczcionkaakapitu"/>
    <w:link w:val="Tekstkomentarza"/>
    <w:uiPriority w:val="99"/>
    <w:rsid w:val="009D1E36"/>
    <w:rPr>
      <w:sz w:val="20"/>
      <w:szCs w:val="20"/>
    </w:rPr>
  </w:style>
  <w:style w:type="paragraph" w:styleId="Tematkomentarza">
    <w:name w:val="annotation subject"/>
    <w:basedOn w:val="Tekstkomentarza"/>
    <w:next w:val="Tekstkomentarza"/>
    <w:link w:val="TematkomentarzaZnak"/>
    <w:uiPriority w:val="99"/>
    <w:semiHidden/>
    <w:unhideWhenUsed/>
    <w:rsid w:val="009D1E36"/>
    <w:rPr>
      <w:b/>
      <w:bCs/>
    </w:rPr>
  </w:style>
  <w:style w:type="character" w:customStyle="1" w:styleId="TematkomentarzaZnak">
    <w:name w:val="Temat komentarza Znak"/>
    <w:basedOn w:val="TekstkomentarzaZnak"/>
    <w:link w:val="Tematkomentarza"/>
    <w:uiPriority w:val="99"/>
    <w:semiHidden/>
    <w:rsid w:val="009D1E36"/>
    <w:rPr>
      <w:b/>
      <w:bCs/>
      <w:sz w:val="20"/>
      <w:szCs w:val="20"/>
    </w:rPr>
  </w:style>
  <w:style w:type="character" w:styleId="Hipercze">
    <w:name w:val="Hyperlink"/>
    <w:basedOn w:val="Domylnaczcionkaakapitu"/>
    <w:uiPriority w:val="99"/>
    <w:unhideWhenUsed/>
    <w:rsid w:val="00BC74FD"/>
    <w:rPr>
      <w:color w:val="467886" w:themeColor="hyperlink"/>
      <w:u w:val="single"/>
    </w:rPr>
  </w:style>
  <w:style w:type="paragraph" w:styleId="Nagwek">
    <w:name w:val="header"/>
    <w:basedOn w:val="Normalny"/>
    <w:link w:val="NagwekZnak"/>
    <w:uiPriority w:val="99"/>
    <w:unhideWhenUsed/>
    <w:rsid w:val="00BC15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1531"/>
  </w:style>
  <w:style w:type="paragraph" w:styleId="Stopka">
    <w:name w:val="footer"/>
    <w:basedOn w:val="Normalny"/>
    <w:link w:val="StopkaZnak"/>
    <w:uiPriority w:val="99"/>
    <w:unhideWhenUsed/>
    <w:rsid w:val="00BC15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1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332A36832A0A41A9315B265E6415BB" ma:contentTypeVersion="17" ma:contentTypeDescription="Create a new document." ma:contentTypeScope="" ma:versionID="d4eedba06b772320ad92c4f20419bbfc">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ce818b489b55f6b6a86b6eb6e1ef1868"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DE745-B516-41FD-93A0-644988001A7C}">
  <ds:schemaRefs>
    <ds:schemaRef ds:uri="http://schemas.microsoft.com/office/2006/metadata/properties"/>
    <ds:schemaRef ds:uri="http://schemas.microsoft.com/office/infopath/2007/PartnerControls"/>
    <ds:schemaRef ds:uri="8a011db4-53a2-4d1b-82ae-320485071b7a"/>
  </ds:schemaRefs>
</ds:datastoreItem>
</file>

<file path=customXml/itemProps2.xml><?xml version="1.0" encoding="utf-8"?>
<ds:datastoreItem xmlns:ds="http://schemas.openxmlformats.org/officeDocument/2006/customXml" ds:itemID="{DD1F3F0A-4806-4497-82F7-27BC7A1E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deeda2bc-8a38-4937-ba20-8ba6d0b0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40AC0-EA09-457D-B62F-A3CC3175E74E}">
  <ds:schemaRefs>
    <ds:schemaRef ds:uri="http://schemas.microsoft.com/sharepoint/v3/contenttype/forms"/>
  </ds:schemaRefs>
</ds:datastoreItem>
</file>

<file path=customXml/itemProps4.xml><?xml version="1.0" encoding="utf-8"?>
<ds:datastoreItem xmlns:ds="http://schemas.openxmlformats.org/officeDocument/2006/customXml" ds:itemID="{2D360BA8-0472-4ED0-9EA5-0020BABC6F07}">
  <ds:schemaRefs>
    <ds:schemaRef ds:uri="http://schemas.openxmlformats.org/officeDocument/2006/bibliography"/>
  </ds:schemaRefs>
</ds:datastoreItem>
</file>

<file path=docMetadata/LabelInfo.xml><?xml version="1.0" encoding="utf-8"?>
<clbl:labelList xmlns:clbl="http://schemas.microsoft.com/office/2020/mipLabelMetadata">
  <clbl:label id="{56e3ab04-e609-4bbf-80d0-e25f460254ff}" enabled="1" method="Standard" siteId="{0d320d22-34e3-428a-bd15-6025042276bf}" removed="0"/>
  <clbl:label id="{587b6ea1-3db9-4fe1-a9d7-85d4c64ce5cc}" enabled="0" method="" siteId="{587b6ea1-3db9-4fe1-a9d7-85d4c64ce5c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5734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2026-06-25T15:12:00Z</dcterms:created>
  <dcterms:modified xsi:type="dcterms:W3CDTF">2026-06-30T07:15:00Z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0x01010026332A36832A0A41A9315B265E6415BB</vt:lpwstr>
  </property>
  <property fmtid="{D5CDD505-2E9C-101B-9397-08002B2CF9AE}" pid="4" name="GrammarlyDocumentId">
    <vt:lpwstr>1d6967f7-b813-404b-8448-9a64613f9aa5</vt:lpwstr>
  </property>
</Properties>
</file>