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D5E2DF" w14:textId="77777777" w:rsidR="008063BD" w:rsidRPr="006E7908" w:rsidRDefault="008063BD" w:rsidP="008063BD">
      <w:pPr>
        <w:spacing w:after="0" w:line="600" w:lineRule="exact"/>
        <w:ind w:right="-141"/>
        <w:jc w:val="center"/>
        <w:rPr>
          <w:b/>
          <w:bCs/>
          <w:noProof/>
          <w:sz w:val="56"/>
          <w:szCs w:val="56"/>
          <w:lang w:val="en-GB"/>
          <w14:textFill>
            <w14:gradFill>
              <w14:gsLst>
                <w14:gs w14:pos="0">
                  <w14:schemeClr w14:val="accent4"/>
                </w14:gs>
                <w14:gs w14:pos="50000">
                  <w14:schemeClr w14:val="accent5"/>
                </w14:gs>
                <w14:gs w14:pos="100000">
                  <w14:schemeClr w14:val="accent1"/>
                </w14:gs>
              </w14:gsLst>
              <w14:lin w14:ang="10800000" w14:scaled="0"/>
            </w14:gradFill>
          </w14:textFill>
        </w:rPr>
      </w:pPr>
    </w:p>
    <w:p w14:paraId="291DF620" w14:textId="0FCC279E" w:rsidR="00FD3F98" w:rsidRDefault="00AA59C3" w:rsidP="0047007D">
      <w:pPr>
        <w:jc w:val="center"/>
        <w:rPr>
          <w:rFonts w:asciiTheme="majorHAnsi" w:eastAsiaTheme="majorEastAsia" w:hAnsiTheme="majorHAnsi" w:cs="Arial (Headings)"/>
          <w:b/>
          <w:caps/>
          <w:noProof/>
          <w:color w:val="219CDC" w:themeColor="accent5"/>
          <w:sz w:val="40"/>
          <w:szCs w:val="40"/>
          <w:lang w:val="pl-PL"/>
          <w14:textFill>
            <w14:gradFill>
              <w14:gsLst>
                <w14:gs w14:pos="50000">
                  <w14:schemeClr w14:val="accent5"/>
                </w14:gs>
                <w14:gs w14:pos="0">
                  <w14:schemeClr w14:val="accent1"/>
                </w14:gs>
                <w14:gs w14:pos="100000">
                  <w14:schemeClr w14:val="accent4"/>
                </w14:gs>
              </w14:gsLst>
              <w14:lin w14:ang="0" w14:scaled="0"/>
            </w14:gradFill>
          </w14:textFill>
        </w:rPr>
      </w:pPr>
      <w:r>
        <w:rPr>
          <w:rFonts w:asciiTheme="majorHAnsi" w:eastAsiaTheme="majorEastAsia" w:hAnsiTheme="majorHAnsi" w:cs="Arial (Headings)"/>
          <w:b/>
          <w:caps/>
          <w:noProof/>
          <w:color w:val="219CDC" w:themeColor="accent5"/>
          <w:sz w:val="40"/>
          <w:szCs w:val="40"/>
          <w:lang w:val="pl-PL"/>
        </w:rPr>
        <w:drawing>
          <wp:inline distT="0" distB="0" distL="0" distR="0" wp14:anchorId="261894CB" wp14:editId="6DB13376">
            <wp:extent cx="6029960" cy="4020185"/>
            <wp:effectExtent l="0" t="0" r="8890" b="0"/>
            <wp:docPr id="278291129"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291129" name="Obraz 27829112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29960" cy="4020185"/>
                    </a:xfrm>
                    <a:prstGeom prst="rect">
                      <a:avLst/>
                    </a:prstGeom>
                  </pic:spPr>
                </pic:pic>
              </a:graphicData>
            </a:graphic>
          </wp:inline>
        </w:drawing>
      </w:r>
    </w:p>
    <w:p w14:paraId="38572B40" w14:textId="77777777" w:rsidR="003537A2" w:rsidRPr="003537A2" w:rsidRDefault="00AA59C3" w:rsidP="00AA59C3">
      <w:pPr>
        <w:jc w:val="center"/>
        <w:rPr>
          <w:rFonts w:asciiTheme="majorHAnsi" w:eastAsiaTheme="majorEastAsia" w:hAnsiTheme="majorHAnsi" w:cs="Arial (Headings)"/>
          <w:b/>
          <w:caps/>
          <w:noProof/>
          <w:color w:val="219CDC" w:themeColor="accent5"/>
          <w:sz w:val="40"/>
          <w:szCs w:val="40"/>
          <w14:textFill>
            <w14:gradFill>
              <w14:gsLst>
                <w14:gs w14:pos="50000">
                  <w14:schemeClr w14:val="accent5"/>
                </w14:gs>
                <w14:gs w14:pos="0">
                  <w14:schemeClr w14:val="accent1"/>
                </w14:gs>
                <w14:gs w14:pos="100000">
                  <w14:schemeClr w14:val="accent4"/>
                </w14:gs>
              </w14:gsLst>
              <w14:lin w14:ang="0" w14:scaled="0"/>
            </w14:gradFill>
          </w14:textFill>
        </w:rPr>
      </w:pPr>
      <w:r w:rsidRPr="003537A2">
        <w:rPr>
          <w:rFonts w:asciiTheme="majorHAnsi" w:eastAsiaTheme="majorEastAsia" w:hAnsiTheme="majorHAnsi" w:cs="Arial (Headings)"/>
          <w:b/>
          <w:caps/>
          <w:noProof/>
          <w:color w:val="219CDC" w:themeColor="accent5"/>
          <w:sz w:val="40"/>
          <w:szCs w:val="40"/>
          <w14:textFill>
            <w14:gradFill>
              <w14:gsLst>
                <w14:gs w14:pos="50000">
                  <w14:schemeClr w14:val="accent5"/>
                </w14:gs>
                <w14:gs w14:pos="0">
                  <w14:schemeClr w14:val="accent1"/>
                </w14:gs>
                <w14:gs w14:pos="100000">
                  <w14:schemeClr w14:val="accent4"/>
                </w14:gs>
              </w14:gsLst>
              <w14:lin w14:ang="0" w14:scaled="0"/>
            </w14:gradFill>
          </w14:textFill>
        </w:rPr>
        <w:t xml:space="preserve">Saint-Gobain ogłasza laureatów </w:t>
      </w:r>
    </w:p>
    <w:p w14:paraId="65E54202" w14:textId="25B553A8" w:rsidR="00AA59C3" w:rsidRPr="003537A2" w:rsidRDefault="00AA59C3" w:rsidP="00AA59C3">
      <w:pPr>
        <w:jc w:val="center"/>
        <w:rPr>
          <w:rFonts w:asciiTheme="majorHAnsi" w:eastAsiaTheme="majorEastAsia" w:hAnsiTheme="majorHAnsi" w:cs="Arial (Headings)"/>
          <w:b/>
          <w:caps/>
          <w:noProof/>
          <w:color w:val="219CDC" w:themeColor="accent5"/>
          <w:sz w:val="40"/>
          <w:szCs w:val="40"/>
          <w14:textFill>
            <w14:gradFill>
              <w14:gsLst>
                <w14:gs w14:pos="50000">
                  <w14:schemeClr w14:val="accent5"/>
                </w14:gs>
                <w14:gs w14:pos="0">
                  <w14:schemeClr w14:val="accent1"/>
                </w14:gs>
                <w14:gs w14:pos="100000">
                  <w14:schemeClr w14:val="accent4"/>
                </w14:gs>
              </w14:gsLst>
              <w14:lin w14:ang="0" w14:scaled="0"/>
            </w14:gradFill>
          </w14:textFill>
        </w:rPr>
      </w:pPr>
      <w:r w:rsidRPr="003537A2">
        <w:rPr>
          <w:rFonts w:asciiTheme="majorHAnsi" w:eastAsiaTheme="majorEastAsia" w:hAnsiTheme="majorHAnsi" w:cs="Arial (Headings)"/>
          <w:b/>
          <w:caps/>
          <w:noProof/>
          <w:color w:val="219CDC" w:themeColor="accent5"/>
          <w:sz w:val="40"/>
          <w:szCs w:val="40"/>
          <w14:textFill>
            <w14:gradFill>
              <w14:gsLst>
                <w14:gs w14:pos="50000">
                  <w14:schemeClr w14:val="accent5"/>
                </w14:gs>
                <w14:gs w14:pos="0">
                  <w14:schemeClr w14:val="accent1"/>
                </w14:gs>
                <w14:gs w14:pos="100000">
                  <w14:schemeClr w14:val="accent4"/>
                </w14:gs>
              </w14:gsLst>
              <w14:lin w14:ang="0" w14:scaled="0"/>
            </w14:gradFill>
          </w14:textFill>
        </w:rPr>
        <w:t>21. edycji Architecture Student Contest 2026</w:t>
      </w:r>
    </w:p>
    <w:p w14:paraId="279C53F0" w14:textId="51603D51" w:rsidR="00AA59C3" w:rsidRPr="00AA59C3" w:rsidRDefault="00AA59C3" w:rsidP="00AA59C3">
      <w:pPr>
        <w:jc w:val="both"/>
        <w:rPr>
          <w:rFonts w:asciiTheme="majorHAnsi" w:eastAsiaTheme="majorEastAsia" w:hAnsiTheme="majorHAnsi" w:cstheme="majorBidi"/>
          <w:b/>
          <w:bCs/>
          <w:noProof/>
          <w:color w:val="17428C" w:themeColor="accent1"/>
          <w:szCs w:val="26"/>
          <w:lang w:val="pl-PL"/>
        </w:rPr>
      </w:pPr>
      <w:r w:rsidRPr="00AA59C3">
        <w:rPr>
          <w:rFonts w:asciiTheme="majorHAnsi" w:eastAsiaTheme="majorEastAsia" w:hAnsiTheme="majorHAnsi" w:cstheme="majorBidi"/>
          <w:b/>
          <w:bCs/>
          <w:noProof/>
          <w:color w:val="17428C" w:themeColor="accent1"/>
          <w:szCs w:val="26"/>
          <w:lang w:val="pl-PL"/>
        </w:rPr>
        <w:t>Jury przyznało nagrody</w:t>
      </w:r>
      <w:r w:rsidR="00AB0483">
        <w:rPr>
          <w:rFonts w:asciiTheme="majorHAnsi" w:eastAsiaTheme="majorEastAsia" w:hAnsiTheme="majorHAnsi" w:cstheme="majorBidi"/>
          <w:b/>
          <w:bCs/>
          <w:noProof/>
          <w:color w:val="17428C" w:themeColor="accent1"/>
          <w:szCs w:val="26"/>
          <w:lang w:val="pl-PL"/>
        </w:rPr>
        <w:t xml:space="preserve"> </w:t>
      </w:r>
      <w:r w:rsidRPr="00AA59C3">
        <w:rPr>
          <w:rFonts w:asciiTheme="majorHAnsi" w:eastAsiaTheme="majorEastAsia" w:hAnsiTheme="majorHAnsi" w:cstheme="majorBidi"/>
          <w:b/>
          <w:bCs/>
          <w:noProof/>
          <w:color w:val="17428C" w:themeColor="accent1"/>
          <w:szCs w:val="26"/>
          <w:lang w:val="pl-PL"/>
        </w:rPr>
        <w:t>w jednym z najważniejszych konkursów dla studentów architektury.</w:t>
      </w:r>
      <w:r w:rsidR="00AB0483">
        <w:rPr>
          <w:rFonts w:asciiTheme="majorHAnsi" w:eastAsiaTheme="majorEastAsia" w:hAnsiTheme="majorHAnsi" w:cstheme="majorBidi"/>
          <w:b/>
          <w:bCs/>
          <w:noProof/>
          <w:color w:val="17428C" w:themeColor="accent1"/>
          <w:szCs w:val="26"/>
          <w:lang w:val="pl-PL"/>
        </w:rPr>
        <w:t xml:space="preserve"> </w:t>
      </w:r>
      <w:r w:rsidRPr="00AA59C3">
        <w:rPr>
          <w:rFonts w:asciiTheme="majorHAnsi" w:eastAsiaTheme="majorEastAsia" w:hAnsiTheme="majorHAnsi" w:cstheme="majorBidi"/>
          <w:b/>
          <w:bCs/>
          <w:noProof/>
          <w:color w:val="17428C" w:themeColor="accent1"/>
          <w:szCs w:val="26"/>
          <w:lang w:val="pl-PL"/>
        </w:rPr>
        <w:t xml:space="preserve">Podczas finału w Belgradzie w dniach 23–25 czerwca swoje projekty zaprezentowały zespoły z całego świata. W edycji 2026 udział wzięło </w:t>
      </w:r>
      <w:r w:rsidR="005D2C25">
        <w:rPr>
          <w:rFonts w:asciiTheme="majorHAnsi" w:eastAsiaTheme="majorEastAsia" w:hAnsiTheme="majorHAnsi" w:cstheme="majorBidi"/>
          <w:b/>
          <w:bCs/>
          <w:noProof/>
          <w:color w:val="17428C" w:themeColor="accent1"/>
          <w:szCs w:val="26"/>
          <w:lang w:val="pl-PL"/>
        </w:rPr>
        <w:t>ponad 1400</w:t>
      </w:r>
      <w:r w:rsidRPr="00AA59C3">
        <w:rPr>
          <w:rFonts w:asciiTheme="majorHAnsi" w:eastAsiaTheme="majorEastAsia" w:hAnsiTheme="majorHAnsi" w:cstheme="majorBidi"/>
          <w:b/>
          <w:bCs/>
          <w:noProof/>
          <w:color w:val="17428C" w:themeColor="accent1"/>
          <w:szCs w:val="26"/>
          <w:lang w:val="pl-PL"/>
        </w:rPr>
        <w:t xml:space="preserve"> studentów, 547 nauczycieli i mentorów oraz 239 uczelni z 34 krajów. Do etapu międzynarodowego zakwalifikowało się 250 uczestników. </w:t>
      </w:r>
      <w:r w:rsidR="00AB0483">
        <w:rPr>
          <w:rFonts w:asciiTheme="majorHAnsi" w:eastAsiaTheme="majorEastAsia" w:hAnsiTheme="majorHAnsi" w:cstheme="majorBidi"/>
          <w:b/>
          <w:bCs/>
          <w:noProof/>
          <w:color w:val="17428C" w:themeColor="accent1"/>
          <w:szCs w:val="26"/>
          <w:lang w:val="pl-PL"/>
        </w:rPr>
        <w:t xml:space="preserve">Pierwsze miejsce powędrowało do przedstawicieli Republiki Południowej Afryki. </w:t>
      </w:r>
    </w:p>
    <w:p w14:paraId="334CF87A" w14:textId="22528658" w:rsidR="00AA59C3" w:rsidRPr="00AA59C3" w:rsidRDefault="00AA59C3" w:rsidP="00AA59C3">
      <w:pPr>
        <w:jc w:val="both"/>
        <w:rPr>
          <w:rFonts w:asciiTheme="majorHAnsi" w:eastAsiaTheme="majorEastAsia" w:hAnsiTheme="majorHAnsi" w:cstheme="majorBidi"/>
          <w:noProof/>
          <w:color w:val="17428C" w:themeColor="accent1"/>
          <w:szCs w:val="26"/>
          <w:lang w:val="pl-PL"/>
        </w:rPr>
      </w:pPr>
      <w:r w:rsidRPr="00AA59C3">
        <w:rPr>
          <w:rFonts w:asciiTheme="majorHAnsi" w:eastAsiaTheme="majorEastAsia" w:hAnsiTheme="majorHAnsi" w:cstheme="majorBidi"/>
          <w:noProof/>
          <w:color w:val="17428C" w:themeColor="accent1"/>
          <w:szCs w:val="26"/>
          <w:lang w:val="pl-PL"/>
        </w:rPr>
        <w:t xml:space="preserve">Tegoroczna edycja konkursu została zorganizowana przez Grupę Saint-Gobain we współpracy </w:t>
      </w:r>
      <w:r w:rsidR="005D2C25">
        <w:rPr>
          <w:rFonts w:asciiTheme="majorHAnsi" w:eastAsiaTheme="majorEastAsia" w:hAnsiTheme="majorHAnsi" w:cstheme="majorBidi"/>
          <w:noProof/>
          <w:color w:val="17428C" w:themeColor="accent1"/>
          <w:szCs w:val="26"/>
          <w:lang w:val="pl-PL"/>
        </w:rPr>
        <w:t xml:space="preserve">m.in. </w:t>
      </w:r>
      <w:r w:rsidR="005D2C25" w:rsidRPr="005D2C25">
        <w:rPr>
          <w:rFonts w:asciiTheme="majorHAnsi" w:eastAsiaTheme="majorEastAsia" w:hAnsiTheme="majorHAnsi" w:cstheme="majorBidi"/>
          <w:noProof/>
          <w:color w:val="17428C" w:themeColor="accent1"/>
          <w:szCs w:val="26"/>
          <w:lang w:val="pl-PL"/>
        </w:rPr>
        <w:t>z World Green Building Council, OneClick LCA</w:t>
      </w:r>
      <w:r w:rsidR="005D2C25">
        <w:rPr>
          <w:rFonts w:asciiTheme="majorHAnsi" w:eastAsiaTheme="majorEastAsia" w:hAnsiTheme="majorHAnsi" w:cstheme="majorBidi"/>
          <w:noProof/>
          <w:color w:val="17428C" w:themeColor="accent1"/>
          <w:szCs w:val="26"/>
          <w:lang w:val="pl-PL"/>
        </w:rPr>
        <w:t xml:space="preserve">, </w:t>
      </w:r>
      <w:r w:rsidRPr="00AA59C3">
        <w:rPr>
          <w:rFonts w:asciiTheme="majorHAnsi" w:eastAsiaTheme="majorEastAsia" w:hAnsiTheme="majorHAnsi" w:cstheme="majorBidi"/>
          <w:noProof/>
          <w:color w:val="17428C" w:themeColor="accent1"/>
          <w:szCs w:val="26"/>
          <w:lang w:val="pl-PL"/>
        </w:rPr>
        <w:t>Miastem Belgrad, Academic Yachting Club Belgrade, Green &amp; Blue Corridors Association oraz Serbia Green Building Council. Zadanie konkursowe koncentrowało się na transformacji fragmentu nabrzeża rzeki Sawy. Studenci mieli opracować wizję nowego „Sports and Recreation Hub” – całorocznej, tętniącej życiem przestrzeni sportu, rekreacji i aktywności społecznych, która połączy modernizację istniejącej tkanki miejskiej z poszanowaniem lokalnego dziedzictwa, poprawą dostępności publicznej oraz odpowiedzią na wyzwania klimatyczne.</w:t>
      </w:r>
    </w:p>
    <w:p w14:paraId="60688BBC" w14:textId="10F35778" w:rsidR="00AA59C3" w:rsidRPr="00AA59C3" w:rsidRDefault="00AA59C3" w:rsidP="00AA59C3">
      <w:pPr>
        <w:jc w:val="both"/>
        <w:rPr>
          <w:rFonts w:asciiTheme="majorHAnsi" w:eastAsiaTheme="majorEastAsia" w:hAnsiTheme="majorHAnsi" w:cstheme="majorBidi"/>
          <w:noProof/>
          <w:color w:val="17428C" w:themeColor="accent1"/>
          <w:szCs w:val="26"/>
          <w:lang w:val="pl-PL"/>
        </w:rPr>
      </w:pPr>
      <w:r w:rsidRPr="00AA59C3">
        <w:rPr>
          <w:rFonts w:asciiTheme="majorHAnsi" w:eastAsiaTheme="majorEastAsia" w:hAnsiTheme="majorHAnsi" w:cstheme="majorBidi"/>
          <w:noProof/>
          <w:color w:val="17428C" w:themeColor="accent1"/>
          <w:szCs w:val="26"/>
          <w:lang w:val="pl-PL"/>
        </w:rPr>
        <w:lastRenderedPageBreak/>
        <w:t xml:space="preserve">Przed uczestnikami postawiono złożone wyzwanie projektowe. Po pierwsze, należało zaproponować koncepcję rewitalizacji terenu </w:t>
      </w:r>
      <w:r w:rsidR="003537A2">
        <w:rPr>
          <w:rFonts w:asciiTheme="majorHAnsi" w:eastAsiaTheme="majorEastAsia" w:hAnsiTheme="majorHAnsi" w:cstheme="majorBidi"/>
          <w:noProof/>
          <w:color w:val="17428C" w:themeColor="accent1"/>
          <w:szCs w:val="26"/>
          <w:lang w:val="pl-PL"/>
        </w:rPr>
        <w:t xml:space="preserve">isniejącej wciąż </w:t>
      </w:r>
      <w:r w:rsidRPr="00AA59C3">
        <w:rPr>
          <w:rFonts w:asciiTheme="majorHAnsi" w:eastAsiaTheme="majorEastAsia" w:hAnsiTheme="majorHAnsi" w:cstheme="majorBidi"/>
          <w:noProof/>
          <w:color w:val="17428C" w:themeColor="accent1"/>
          <w:szCs w:val="26"/>
          <w:lang w:val="pl-PL"/>
        </w:rPr>
        <w:t>cementowni i przekształcenia go</w:t>
      </w:r>
      <w:r w:rsidR="001C2861">
        <w:rPr>
          <w:rFonts w:asciiTheme="majorHAnsi" w:eastAsiaTheme="majorEastAsia" w:hAnsiTheme="majorHAnsi" w:cstheme="majorBidi"/>
          <w:noProof/>
          <w:color w:val="17428C" w:themeColor="accent1"/>
          <w:szCs w:val="26"/>
          <w:lang w:val="pl-PL"/>
        </w:rPr>
        <w:t xml:space="preserve"> w </w:t>
      </w:r>
      <w:r w:rsidRPr="00AA59C3">
        <w:rPr>
          <w:rFonts w:asciiTheme="majorHAnsi" w:eastAsiaTheme="majorEastAsia" w:hAnsiTheme="majorHAnsi" w:cstheme="majorBidi"/>
          <w:noProof/>
          <w:color w:val="17428C" w:themeColor="accent1"/>
          <w:szCs w:val="26"/>
          <w:lang w:val="pl-PL"/>
        </w:rPr>
        <w:t xml:space="preserve">bardziej </w:t>
      </w:r>
      <w:r w:rsidR="00AB0483">
        <w:rPr>
          <w:rFonts w:asciiTheme="majorHAnsi" w:eastAsiaTheme="majorEastAsia" w:hAnsiTheme="majorHAnsi" w:cstheme="majorBidi"/>
          <w:noProof/>
          <w:color w:val="17428C" w:themeColor="accent1"/>
          <w:szCs w:val="26"/>
          <w:lang w:val="pl-PL"/>
        </w:rPr>
        <w:t xml:space="preserve">przyjazną środowisku </w:t>
      </w:r>
      <w:r w:rsidRPr="00AA59C3">
        <w:rPr>
          <w:rFonts w:asciiTheme="majorHAnsi" w:eastAsiaTheme="majorEastAsia" w:hAnsiTheme="majorHAnsi" w:cstheme="majorBidi"/>
          <w:noProof/>
          <w:color w:val="17428C" w:themeColor="accent1"/>
          <w:szCs w:val="26"/>
          <w:lang w:val="pl-PL"/>
        </w:rPr>
        <w:t>przestrzeń publiczną. Po drugie – opracować rozwiązania dla nowych obiektów sportowych, zieleni i układu przestrzennego całego obszaru. Po trzecie – przygotować propozycję renowacji parteru i pierwszego piętra Academic Yachting Club Belgrade</w:t>
      </w:r>
      <w:r w:rsidR="003537A2">
        <w:rPr>
          <w:rFonts w:asciiTheme="majorHAnsi" w:eastAsiaTheme="majorEastAsia" w:hAnsiTheme="majorHAnsi" w:cstheme="majorBidi"/>
          <w:noProof/>
          <w:color w:val="17428C" w:themeColor="accent1"/>
          <w:szCs w:val="26"/>
          <w:lang w:val="pl-PL"/>
        </w:rPr>
        <w:t xml:space="preserve"> na sąsiadującej działce</w:t>
      </w:r>
      <w:r w:rsidRPr="00AA59C3">
        <w:rPr>
          <w:rFonts w:asciiTheme="majorHAnsi" w:eastAsiaTheme="majorEastAsia" w:hAnsiTheme="majorHAnsi" w:cstheme="majorBidi"/>
          <w:noProof/>
          <w:color w:val="17428C" w:themeColor="accent1"/>
          <w:szCs w:val="26"/>
          <w:lang w:val="pl-PL"/>
        </w:rPr>
        <w:t>. Wszystkie te elementy miały tworzyć spójną odpowiedź na potrzeby miasta, jego mieszkańców</w:t>
      </w:r>
      <w:r w:rsidR="005D2C25">
        <w:rPr>
          <w:rFonts w:asciiTheme="majorHAnsi" w:eastAsiaTheme="majorEastAsia" w:hAnsiTheme="majorHAnsi" w:cstheme="majorBidi"/>
          <w:noProof/>
          <w:color w:val="17428C" w:themeColor="accent1"/>
          <w:szCs w:val="26"/>
          <w:lang w:val="pl-PL"/>
        </w:rPr>
        <w:t xml:space="preserve"> i </w:t>
      </w:r>
      <w:r w:rsidRPr="00AA59C3">
        <w:rPr>
          <w:rFonts w:asciiTheme="majorHAnsi" w:eastAsiaTheme="majorEastAsia" w:hAnsiTheme="majorHAnsi" w:cstheme="majorBidi"/>
          <w:noProof/>
          <w:color w:val="17428C" w:themeColor="accent1"/>
          <w:szCs w:val="26"/>
          <w:lang w:val="pl-PL"/>
        </w:rPr>
        <w:t>użytkowników nabrzeża.</w:t>
      </w:r>
    </w:p>
    <w:p w14:paraId="37E40380" w14:textId="416728A1" w:rsidR="00AA59C3" w:rsidRPr="00AA59C3" w:rsidRDefault="00AA59C3" w:rsidP="00AA59C3">
      <w:pPr>
        <w:jc w:val="both"/>
        <w:rPr>
          <w:rFonts w:asciiTheme="majorHAnsi" w:eastAsiaTheme="majorEastAsia" w:hAnsiTheme="majorHAnsi" w:cstheme="majorBidi"/>
          <w:noProof/>
          <w:color w:val="17428C" w:themeColor="accent1"/>
          <w:szCs w:val="26"/>
          <w:lang w:val="pl-PL"/>
        </w:rPr>
      </w:pPr>
      <w:r w:rsidRPr="00AA59C3">
        <w:rPr>
          <w:rFonts w:asciiTheme="majorHAnsi" w:eastAsiaTheme="majorEastAsia" w:hAnsiTheme="majorHAnsi" w:cstheme="majorBidi"/>
          <w:noProof/>
          <w:color w:val="17428C" w:themeColor="accent1"/>
          <w:szCs w:val="26"/>
          <w:lang w:val="pl-PL"/>
        </w:rPr>
        <w:t>W tym procesie szczególnie istotne było uwzględnienie założeń zrównoważonego budownictwa: cyrkularności, redukcji śladu węglowego, efektywności energetycznej, strategii pasywnych, odporności architektury nadrzecznej oraz rozwiązań wspierających bioróżnorodność i publiczny dostęp do rzeki. Projekty oceniano zarówno pod kątem jakości architektury – w tym koncepcji funkcjonalnej, dopasowania do kontekstu i powiązań z otoczeniem – jak i kryteriów zrównoważonego rozwoju, obejmujących m.in. zasoby, dobrostan użytkowników, fizykę budowli oraz właściwe wykorzystanie produktów.</w:t>
      </w:r>
    </w:p>
    <w:p w14:paraId="4E026CF4" w14:textId="288C33FE" w:rsidR="00AA59C3" w:rsidRPr="001F155B" w:rsidRDefault="00AA59C3" w:rsidP="00AA59C3">
      <w:pPr>
        <w:jc w:val="both"/>
        <w:rPr>
          <w:rFonts w:asciiTheme="majorHAnsi" w:eastAsiaTheme="majorEastAsia" w:hAnsiTheme="majorHAnsi" w:cstheme="majorBidi"/>
          <w:b/>
          <w:bCs/>
          <w:noProof/>
          <w:color w:val="17428C" w:themeColor="accent1"/>
          <w:szCs w:val="26"/>
          <w:lang w:val="pl-PL"/>
        </w:rPr>
      </w:pPr>
      <w:r w:rsidRPr="00AA59C3">
        <w:rPr>
          <w:rFonts w:asciiTheme="majorHAnsi" w:eastAsiaTheme="majorEastAsia" w:hAnsiTheme="majorHAnsi" w:cstheme="majorBidi"/>
          <w:noProof/>
          <w:color w:val="17428C" w:themeColor="accent1"/>
          <w:szCs w:val="26"/>
          <w:lang w:val="pl-PL"/>
        </w:rPr>
        <w:t xml:space="preserve">– </w:t>
      </w:r>
      <w:r w:rsidRPr="00AA59C3">
        <w:rPr>
          <w:rFonts w:asciiTheme="majorHAnsi" w:eastAsiaTheme="majorEastAsia" w:hAnsiTheme="majorHAnsi" w:cstheme="majorBidi"/>
          <w:i/>
          <w:iCs/>
          <w:noProof/>
          <w:color w:val="17428C" w:themeColor="accent1"/>
          <w:szCs w:val="26"/>
          <w:lang w:val="pl-PL"/>
        </w:rPr>
        <w:t>W Belgradzie 250 studentów połączyła jedna wspólna ambicja: wyobrazić sobie nowe sposoby życia w mieście. Po miesiącach pracy i dwóch dniach wydarzenia pokazali, że ponowne przemyślenie przestrzeni miejskich – uczynienie ich bardziej zrównoważonymi, inkluzywnymi</w:t>
      </w:r>
      <w:r w:rsidR="005D2C25">
        <w:rPr>
          <w:rFonts w:asciiTheme="majorHAnsi" w:eastAsiaTheme="majorEastAsia" w:hAnsiTheme="majorHAnsi" w:cstheme="majorBidi"/>
          <w:i/>
          <w:iCs/>
          <w:noProof/>
          <w:color w:val="17428C" w:themeColor="accent1"/>
          <w:szCs w:val="26"/>
          <w:lang w:val="pl-PL"/>
        </w:rPr>
        <w:t xml:space="preserve"> i </w:t>
      </w:r>
      <w:r w:rsidRPr="00AA59C3">
        <w:rPr>
          <w:rFonts w:asciiTheme="majorHAnsi" w:eastAsiaTheme="majorEastAsia" w:hAnsiTheme="majorHAnsi" w:cstheme="majorBidi"/>
          <w:i/>
          <w:iCs/>
          <w:noProof/>
          <w:color w:val="17428C" w:themeColor="accent1"/>
          <w:szCs w:val="26"/>
          <w:lang w:val="pl-PL"/>
        </w:rPr>
        <w:t>inspirującymi – jest nie tylko konieczne, ale i możliwe. 21. edycja Saint-Gobain Architecture Student Contest po raz kolejny podkreśla energię i zaangażowanie nowego pokolenia architektów. Propozycje te odzwierciedlają złożoność dzisiejszych wyzwań: łączenie nowego budownictwa</w:t>
      </w:r>
      <w:r w:rsidR="005D2C25">
        <w:rPr>
          <w:rFonts w:asciiTheme="majorHAnsi" w:eastAsiaTheme="majorEastAsia" w:hAnsiTheme="majorHAnsi" w:cstheme="majorBidi"/>
          <w:i/>
          <w:iCs/>
          <w:noProof/>
          <w:color w:val="17428C" w:themeColor="accent1"/>
          <w:szCs w:val="26"/>
          <w:lang w:val="pl-PL"/>
        </w:rPr>
        <w:t xml:space="preserve"> z </w:t>
      </w:r>
      <w:r w:rsidRPr="00AA59C3">
        <w:rPr>
          <w:rFonts w:asciiTheme="majorHAnsi" w:eastAsiaTheme="majorEastAsia" w:hAnsiTheme="majorHAnsi" w:cstheme="majorBidi"/>
          <w:i/>
          <w:iCs/>
          <w:noProof/>
          <w:color w:val="17428C" w:themeColor="accent1"/>
          <w:szCs w:val="26"/>
          <w:lang w:val="pl-PL"/>
        </w:rPr>
        <w:t xml:space="preserve">renowacją, dostosowanie do lokalnego kontekstu oraz projektowanie przestrzeni, które poprawiają jakość życia, jednocześnie chroniąc zasoby. Wpisują się także w ambicję Belgradu, by budować bardziej odporną i zrównoważoną przyszłość. W Saint-Gobain podzielamy tę wizję. Od ponad 360 lat Grupa angażuje się w rozwój rozwiązań wspierających bardziej zrównoważone budownictwo. A wraz z </w:t>
      </w:r>
      <w:r w:rsidR="001C2861">
        <w:rPr>
          <w:rFonts w:asciiTheme="majorHAnsi" w:eastAsiaTheme="majorEastAsia" w:hAnsiTheme="majorHAnsi" w:cstheme="majorBidi"/>
          <w:i/>
          <w:iCs/>
          <w:noProof/>
          <w:color w:val="17428C" w:themeColor="accent1"/>
          <w:szCs w:val="26"/>
          <w:lang w:val="pl-PL"/>
        </w:rPr>
        <w:t>przemianami</w:t>
      </w:r>
      <w:r w:rsidRPr="00AA59C3">
        <w:rPr>
          <w:rFonts w:asciiTheme="majorHAnsi" w:eastAsiaTheme="majorEastAsia" w:hAnsiTheme="majorHAnsi" w:cstheme="majorBidi"/>
          <w:i/>
          <w:iCs/>
          <w:noProof/>
          <w:color w:val="17428C" w:themeColor="accent1"/>
          <w:szCs w:val="26"/>
          <w:lang w:val="pl-PL"/>
        </w:rPr>
        <w:t xml:space="preserve"> i ewolucją miast rola architektów staje się coraz ważniejsza. Tegoroczna edycja niesie jasne przesłanie: nowe pokolenie jest gotowe – gotowe mierzyć się</w:t>
      </w:r>
      <w:r w:rsidR="005D2C25">
        <w:rPr>
          <w:rFonts w:asciiTheme="majorHAnsi" w:eastAsiaTheme="majorEastAsia" w:hAnsiTheme="majorHAnsi" w:cstheme="majorBidi"/>
          <w:i/>
          <w:iCs/>
          <w:noProof/>
          <w:color w:val="17428C" w:themeColor="accent1"/>
          <w:szCs w:val="26"/>
          <w:lang w:val="pl-PL"/>
        </w:rPr>
        <w:t xml:space="preserve"> z </w:t>
      </w:r>
      <w:r w:rsidRPr="00AA59C3">
        <w:rPr>
          <w:rFonts w:asciiTheme="majorHAnsi" w:eastAsiaTheme="majorEastAsia" w:hAnsiTheme="majorHAnsi" w:cstheme="majorBidi"/>
          <w:i/>
          <w:iCs/>
          <w:noProof/>
          <w:color w:val="17428C" w:themeColor="accent1"/>
          <w:szCs w:val="26"/>
          <w:lang w:val="pl-PL"/>
        </w:rPr>
        <w:t>wyzwaniami jutra</w:t>
      </w:r>
      <w:r w:rsidR="005D2C25">
        <w:rPr>
          <w:rFonts w:asciiTheme="majorHAnsi" w:eastAsiaTheme="majorEastAsia" w:hAnsiTheme="majorHAnsi" w:cstheme="majorBidi"/>
          <w:i/>
          <w:iCs/>
          <w:noProof/>
          <w:color w:val="17428C" w:themeColor="accent1"/>
          <w:szCs w:val="26"/>
          <w:lang w:val="pl-PL"/>
        </w:rPr>
        <w:t xml:space="preserve"> i </w:t>
      </w:r>
      <w:r w:rsidRPr="00AA59C3">
        <w:rPr>
          <w:rFonts w:asciiTheme="majorHAnsi" w:eastAsiaTheme="majorEastAsia" w:hAnsiTheme="majorHAnsi" w:cstheme="majorBidi"/>
          <w:i/>
          <w:iCs/>
          <w:noProof/>
          <w:color w:val="17428C" w:themeColor="accent1"/>
          <w:szCs w:val="26"/>
          <w:lang w:val="pl-PL"/>
        </w:rPr>
        <w:t>pomagać czynić świat lepszym domem</w:t>
      </w:r>
      <w:r w:rsidRPr="00AA59C3">
        <w:rPr>
          <w:rFonts w:asciiTheme="majorHAnsi" w:eastAsiaTheme="majorEastAsia" w:hAnsiTheme="majorHAnsi" w:cstheme="majorBidi"/>
          <w:noProof/>
          <w:color w:val="17428C" w:themeColor="accent1"/>
          <w:szCs w:val="26"/>
          <w:lang w:val="pl-PL"/>
        </w:rPr>
        <w:t xml:space="preserve"> – podkreślił </w:t>
      </w:r>
      <w:r w:rsidRPr="001F155B">
        <w:rPr>
          <w:rFonts w:asciiTheme="majorHAnsi" w:eastAsiaTheme="majorEastAsia" w:hAnsiTheme="majorHAnsi" w:cstheme="majorBidi"/>
          <w:b/>
          <w:bCs/>
          <w:noProof/>
          <w:color w:val="17428C" w:themeColor="accent1"/>
          <w:szCs w:val="26"/>
          <w:lang w:val="pl-PL"/>
        </w:rPr>
        <w:t xml:space="preserve">Patrick Dupin, </w:t>
      </w:r>
      <w:r w:rsidR="001F155B" w:rsidRPr="001F155B">
        <w:rPr>
          <w:rFonts w:asciiTheme="majorHAnsi" w:eastAsiaTheme="majorEastAsia" w:hAnsiTheme="majorHAnsi" w:cstheme="majorBidi"/>
          <w:b/>
          <w:bCs/>
          <w:noProof/>
          <w:color w:val="17428C" w:themeColor="accent1"/>
          <w:szCs w:val="26"/>
          <w:lang w:val="pl-PL"/>
        </w:rPr>
        <w:t>Dyrektor Operacyjny Grupy</w:t>
      </w:r>
      <w:r w:rsidRPr="001F155B">
        <w:rPr>
          <w:rFonts w:asciiTheme="majorHAnsi" w:eastAsiaTheme="majorEastAsia" w:hAnsiTheme="majorHAnsi" w:cstheme="majorBidi"/>
          <w:b/>
          <w:bCs/>
          <w:noProof/>
          <w:color w:val="17428C" w:themeColor="accent1"/>
          <w:szCs w:val="26"/>
          <w:lang w:val="pl-PL"/>
        </w:rPr>
        <w:t xml:space="preserve"> Saint-Gobain.</w:t>
      </w:r>
    </w:p>
    <w:p w14:paraId="53A0A378" w14:textId="433B3E3D" w:rsidR="001F155B" w:rsidRDefault="001F155B" w:rsidP="001F155B">
      <w:pPr>
        <w:jc w:val="both"/>
        <w:rPr>
          <w:rFonts w:asciiTheme="majorHAnsi" w:eastAsiaTheme="majorEastAsia" w:hAnsiTheme="majorHAnsi" w:cstheme="majorBidi"/>
          <w:b/>
          <w:bCs/>
          <w:noProof/>
          <w:color w:val="67B9B0" w:themeColor="accent4"/>
          <w:szCs w:val="26"/>
          <w:lang w:val="pl-PL"/>
        </w:rPr>
      </w:pPr>
      <w:r>
        <w:rPr>
          <w:rFonts w:asciiTheme="majorHAnsi" w:eastAsiaTheme="majorEastAsia" w:hAnsiTheme="majorHAnsi" w:cstheme="majorBidi"/>
          <w:b/>
          <w:bCs/>
          <w:noProof/>
          <w:color w:val="67B9B0" w:themeColor="accent4"/>
          <w:szCs w:val="26"/>
          <w:lang w:val="pl-PL"/>
        </w:rPr>
        <w:t>Laureaci pięciu nagród</w:t>
      </w:r>
    </w:p>
    <w:p w14:paraId="50F3ADA0" w14:textId="164351FA" w:rsidR="00AA59C3" w:rsidRDefault="00AA59C3" w:rsidP="00AA59C3">
      <w:pPr>
        <w:jc w:val="both"/>
        <w:rPr>
          <w:rFonts w:asciiTheme="majorHAnsi" w:eastAsiaTheme="majorEastAsia" w:hAnsiTheme="majorHAnsi" w:cstheme="majorBidi"/>
          <w:noProof/>
          <w:color w:val="17428C" w:themeColor="accent1"/>
          <w:szCs w:val="26"/>
          <w:lang w:val="pl-PL"/>
        </w:rPr>
      </w:pPr>
      <w:r w:rsidRPr="001F155B">
        <w:rPr>
          <w:rFonts w:asciiTheme="majorHAnsi" w:eastAsiaTheme="majorEastAsia" w:hAnsiTheme="majorHAnsi" w:cstheme="majorBidi"/>
          <w:b/>
          <w:bCs/>
          <w:noProof/>
          <w:color w:val="17428C" w:themeColor="accent1"/>
          <w:szCs w:val="26"/>
          <w:lang w:val="pl-PL"/>
        </w:rPr>
        <w:t xml:space="preserve">I nagroda trafiła do zespołu z RPA za projekt </w:t>
      </w:r>
      <w:hyperlink r:id="rId11" w:history="1">
        <w:r w:rsidRPr="005D2C25">
          <w:rPr>
            <w:rStyle w:val="Hipercze"/>
            <w:rFonts w:asciiTheme="majorHAnsi" w:eastAsiaTheme="majorEastAsia" w:hAnsiTheme="majorHAnsi" w:cstheme="majorBidi"/>
            <w:b/>
            <w:bCs/>
            <w:noProof/>
            <w:szCs w:val="26"/>
            <w:lang w:val="pl-PL"/>
          </w:rPr>
          <w:t>„Ceding the Sava”</w:t>
        </w:r>
      </w:hyperlink>
      <w:r w:rsidRPr="001F155B">
        <w:rPr>
          <w:rFonts w:asciiTheme="majorHAnsi" w:eastAsiaTheme="majorEastAsia" w:hAnsiTheme="majorHAnsi" w:cstheme="majorBidi"/>
          <w:b/>
          <w:bCs/>
          <w:noProof/>
          <w:color w:val="17428C" w:themeColor="accent1"/>
          <w:szCs w:val="26"/>
          <w:lang w:val="pl-PL"/>
        </w:rPr>
        <w:t>.</w:t>
      </w:r>
      <w:r w:rsidRPr="00AA59C3">
        <w:rPr>
          <w:rFonts w:asciiTheme="majorHAnsi" w:eastAsiaTheme="majorEastAsia" w:hAnsiTheme="majorHAnsi" w:cstheme="majorBidi"/>
          <w:noProof/>
          <w:color w:val="17428C" w:themeColor="accent1"/>
          <w:szCs w:val="26"/>
          <w:lang w:val="pl-PL"/>
        </w:rPr>
        <w:t xml:space="preserve"> Autorami koncepcji są Rudi Scholtz i Ruan Smith z Nelson Mandela University w Gqeberha, pracujący pod opieką Johna Andrewsa.</w:t>
      </w:r>
    </w:p>
    <w:p w14:paraId="26E1CD3D" w14:textId="2CC7C509" w:rsidR="001C2861" w:rsidRPr="00E61CBA" w:rsidRDefault="001C2861" w:rsidP="00AA59C3">
      <w:pPr>
        <w:jc w:val="both"/>
        <w:rPr>
          <w:rFonts w:asciiTheme="majorHAnsi" w:eastAsiaTheme="majorEastAsia" w:hAnsiTheme="majorHAnsi" w:cstheme="majorBidi"/>
          <w:noProof/>
          <w:color w:val="17428C" w:themeColor="accent1"/>
          <w:szCs w:val="26"/>
        </w:rPr>
      </w:pPr>
      <w:r>
        <w:rPr>
          <w:rFonts w:asciiTheme="majorHAnsi" w:eastAsiaTheme="majorEastAsia" w:hAnsiTheme="majorHAnsi" w:cstheme="majorBidi"/>
          <w:noProof/>
          <w:color w:val="17428C" w:themeColor="accent1"/>
          <w:szCs w:val="26"/>
          <w:lang w:val="pl-PL"/>
        </w:rPr>
        <w:lastRenderedPageBreak/>
        <w:drawing>
          <wp:inline distT="0" distB="0" distL="0" distR="0" wp14:anchorId="025A5022" wp14:editId="57A0778B">
            <wp:extent cx="6029960" cy="4020185"/>
            <wp:effectExtent l="0" t="0" r="8890" b="0"/>
            <wp:docPr id="91806504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065042" name="Obraz 91806504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29960" cy="4020185"/>
                    </a:xfrm>
                    <a:prstGeom prst="rect">
                      <a:avLst/>
                    </a:prstGeom>
                  </pic:spPr>
                </pic:pic>
              </a:graphicData>
            </a:graphic>
          </wp:inline>
        </w:drawing>
      </w:r>
      <w:r w:rsidR="009667DE">
        <w:rPr>
          <w:color w:val="17428B"/>
          <w:sz w:val="16"/>
          <w:szCs w:val="16"/>
          <w:shd w:val="clear" w:color="auto" w:fill="FFFFFF"/>
          <w:lang w:val="pl-PL"/>
        </w:rPr>
        <w:t xml:space="preserve">Wręczenie I nagrody w Architecture Student Contest 2026. </w:t>
      </w:r>
      <w:r w:rsidRPr="001C2861">
        <w:rPr>
          <w:color w:val="17428B"/>
          <w:sz w:val="16"/>
          <w:szCs w:val="16"/>
          <w:shd w:val="clear" w:color="auto" w:fill="FFFFFF"/>
          <w:lang w:val="pl-PL"/>
        </w:rPr>
        <w:t xml:space="preserve">Zespół w składzie: </w:t>
      </w:r>
      <w:r w:rsidRPr="001C2861">
        <w:rPr>
          <w:rFonts w:asciiTheme="majorHAnsi" w:eastAsiaTheme="majorEastAsia" w:hAnsiTheme="majorHAnsi" w:cstheme="majorBidi"/>
          <w:noProof/>
          <w:color w:val="17428C" w:themeColor="accent1"/>
          <w:sz w:val="16"/>
          <w:szCs w:val="16"/>
          <w:lang w:val="pl-PL"/>
        </w:rPr>
        <w:t xml:space="preserve">Rudi Scholtz, Ruan Smith, opiekun: John Andrews. </w:t>
      </w:r>
      <w:proofErr w:type="spellStart"/>
      <w:r w:rsidRPr="00E61CBA">
        <w:rPr>
          <w:color w:val="17428B"/>
          <w:sz w:val="16"/>
          <w:szCs w:val="16"/>
          <w:shd w:val="clear" w:color="auto" w:fill="FFFFFF"/>
        </w:rPr>
        <w:t>Źródło</w:t>
      </w:r>
      <w:proofErr w:type="spellEnd"/>
      <w:r w:rsidRPr="00E61CBA">
        <w:rPr>
          <w:color w:val="17428B"/>
          <w:sz w:val="16"/>
          <w:szCs w:val="16"/>
          <w:shd w:val="clear" w:color="auto" w:fill="FFFFFF"/>
        </w:rPr>
        <w:t>: Saint-Gobain.</w:t>
      </w:r>
    </w:p>
    <w:p w14:paraId="65D7A267" w14:textId="791C0FA0" w:rsidR="001C2861" w:rsidRPr="00E61CBA" w:rsidRDefault="001C2861" w:rsidP="001C2861">
      <w:pPr>
        <w:jc w:val="both"/>
        <w:rPr>
          <w:rFonts w:asciiTheme="majorHAnsi" w:eastAsiaTheme="majorEastAsia" w:hAnsiTheme="majorHAnsi" w:cstheme="majorBidi"/>
          <w:noProof/>
          <w:color w:val="17428C" w:themeColor="accent1"/>
          <w:szCs w:val="26"/>
        </w:rPr>
      </w:pPr>
      <w:r>
        <w:rPr>
          <w:rFonts w:asciiTheme="majorHAnsi" w:eastAsiaTheme="majorEastAsia" w:hAnsiTheme="majorHAnsi" w:cstheme="majorBidi"/>
          <w:noProof/>
          <w:color w:val="17428C" w:themeColor="accent1"/>
          <w:szCs w:val="26"/>
          <w:lang w:val="pl-PL"/>
        </w:rPr>
        <w:drawing>
          <wp:inline distT="0" distB="0" distL="0" distR="0" wp14:anchorId="2904ACAF" wp14:editId="2B2B8052">
            <wp:extent cx="6029960" cy="3392170"/>
            <wp:effectExtent l="0" t="0" r="8890" b="0"/>
            <wp:docPr id="212629258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292583" name="Obraz 212629258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29960" cy="3392170"/>
                    </a:xfrm>
                    <a:prstGeom prst="rect">
                      <a:avLst/>
                    </a:prstGeom>
                  </pic:spPr>
                </pic:pic>
              </a:graphicData>
            </a:graphic>
          </wp:inline>
        </w:drawing>
      </w:r>
      <w:proofErr w:type="spellStart"/>
      <w:r w:rsidRPr="00975C80">
        <w:rPr>
          <w:color w:val="17428B"/>
          <w:sz w:val="16"/>
          <w:szCs w:val="16"/>
          <w:shd w:val="clear" w:color="auto" w:fill="FFFFFF"/>
        </w:rPr>
        <w:t>Wizualizacj</w:t>
      </w:r>
      <w:r>
        <w:rPr>
          <w:color w:val="17428B"/>
          <w:sz w:val="16"/>
          <w:szCs w:val="16"/>
          <w:shd w:val="clear" w:color="auto" w:fill="FFFFFF"/>
        </w:rPr>
        <w:t>a</w:t>
      </w:r>
      <w:proofErr w:type="spellEnd"/>
      <w:r w:rsidRPr="00975C80">
        <w:rPr>
          <w:color w:val="17428B"/>
          <w:sz w:val="16"/>
          <w:szCs w:val="16"/>
          <w:shd w:val="clear" w:color="auto" w:fill="FFFFFF"/>
        </w:rPr>
        <w:t xml:space="preserve"> </w:t>
      </w:r>
      <w:proofErr w:type="spellStart"/>
      <w:r w:rsidRPr="00975C80">
        <w:rPr>
          <w:color w:val="17428B"/>
          <w:sz w:val="16"/>
          <w:szCs w:val="16"/>
          <w:shd w:val="clear" w:color="auto" w:fill="FFFFFF"/>
        </w:rPr>
        <w:t>projektu</w:t>
      </w:r>
      <w:proofErr w:type="spellEnd"/>
      <w:r w:rsidRPr="00975C80">
        <w:rPr>
          <w:color w:val="17428B"/>
          <w:sz w:val="16"/>
          <w:szCs w:val="16"/>
          <w:shd w:val="clear" w:color="auto" w:fill="FFFFFF"/>
        </w:rPr>
        <w:t xml:space="preserve"> „</w:t>
      </w:r>
      <w:r>
        <w:rPr>
          <w:color w:val="17428B"/>
          <w:sz w:val="16"/>
          <w:szCs w:val="16"/>
        </w:rPr>
        <w:t>Ceding the Sava</w:t>
      </w:r>
      <w:r w:rsidRPr="00975C80">
        <w:rPr>
          <w:color w:val="17428B"/>
          <w:sz w:val="16"/>
          <w:szCs w:val="16"/>
          <w:shd w:val="clear" w:color="auto" w:fill="FFFFFF"/>
        </w:rPr>
        <w:t>”</w:t>
      </w:r>
      <w:r w:rsidRPr="00E61CBA">
        <w:rPr>
          <w:color w:val="17428B"/>
          <w:sz w:val="16"/>
          <w:szCs w:val="16"/>
          <w:shd w:val="clear" w:color="auto" w:fill="FFFFFF"/>
        </w:rPr>
        <w:t xml:space="preserve">. </w:t>
      </w:r>
      <w:proofErr w:type="spellStart"/>
      <w:r w:rsidRPr="00E61CBA">
        <w:rPr>
          <w:color w:val="17428B"/>
          <w:sz w:val="16"/>
          <w:szCs w:val="16"/>
          <w:shd w:val="clear" w:color="auto" w:fill="FFFFFF"/>
        </w:rPr>
        <w:t>Źródło</w:t>
      </w:r>
      <w:proofErr w:type="spellEnd"/>
      <w:r w:rsidRPr="00E61CBA">
        <w:rPr>
          <w:color w:val="17428B"/>
          <w:sz w:val="16"/>
          <w:szCs w:val="16"/>
          <w:shd w:val="clear" w:color="auto" w:fill="FFFFFF"/>
        </w:rPr>
        <w:t>: Saint-Gobain.</w:t>
      </w:r>
    </w:p>
    <w:p w14:paraId="6515117E" w14:textId="77777777" w:rsidR="001C2861" w:rsidRPr="00E61CBA" w:rsidRDefault="001C2861" w:rsidP="001C2861">
      <w:pPr>
        <w:pStyle w:val="Tekstpodstawowy"/>
        <w:spacing w:before="176" w:line="256" w:lineRule="auto"/>
        <w:ind w:right="136"/>
        <w:jc w:val="both"/>
        <w:rPr>
          <w:color w:val="17428B"/>
          <w:sz w:val="16"/>
          <w:szCs w:val="16"/>
          <w:shd w:val="clear" w:color="auto" w:fill="FFFFFF"/>
        </w:rPr>
      </w:pPr>
    </w:p>
    <w:p w14:paraId="2B853053" w14:textId="3E8F4422" w:rsidR="00AA59C3" w:rsidRPr="00AA59C3" w:rsidRDefault="00AA59C3" w:rsidP="00AA59C3">
      <w:pPr>
        <w:jc w:val="both"/>
        <w:rPr>
          <w:rFonts w:asciiTheme="majorHAnsi" w:eastAsiaTheme="majorEastAsia" w:hAnsiTheme="majorHAnsi" w:cstheme="majorBidi"/>
          <w:noProof/>
          <w:color w:val="17428C" w:themeColor="accent1"/>
          <w:szCs w:val="26"/>
        </w:rPr>
      </w:pPr>
      <w:r w:rsidRPr="001F155B">
        <w:rPr>
          <w:rFonts w:asciiTheme="majorHAnsi" w:eastAsiaTheme="majorEastAsia" w:hAnsiTheme="majorHAnsi" w:cstheme="majorBidi"/>
          <w:b/>
          <w:bCs/>
          <w:noProof/>
          <w:color w:val="17428C" w:themeColor="accent1"/>
          <w:szCs w:val="26"/>
          <w:lang w:val="pl-PL"/>
        </w:rPr>
        <w:lastRenderedPageBreak/>
        <w:t xml:space="preserve">II nagrodę otrzymał zespół z Portugalii za projekt </w:t>
      </w:r>
      <w:hyperlink r:id="rId14" w:history="1">
        <w:r w:rsidRPr="005D2C25">
          <w:rPr>
            <w:rStyle w:val="Hipercze"/>
            <w:rFonts w:asciiTheme="majorHAnsi" w:eastAsiaTheme="majorEastAsia" w:hAnsiTheme="majorHAnsi" w:cstheme="majorBidi"/>
            <w:b/>
            <w:bCs/>
            <w:noProof/>
            <w:szCs w:val="26"/>
            <w:lang w:val="pl-PL"/>
          </w:rPr>
          <w:t>„COEXISTENCE”</w:t>
        </w:r>
      </w:hyperlink>
      <w:r w:rsidRPr="001F155B">
        <w:rPr>
          <w:rFonts w:asciiTheme="majorHAnsi" w:eastAsiaTheme="majorEastAsia" w:hAnsiTheme="majorHAnsi" w:cstheme="majorBidi"/>
          <w:b/>
          <w:bCs/>
          <w:noProof/>
          <w:color w:val="17428C" w:themeColor="accent1"/>
          <w:szCs w:val="26"/>
          <w:lang w:val="pl-PL"/>
        </w:rPr>
        <w:t>.</w:t>
      </w:r>
      <w:r w:rsidRPr="00AA59C3">
        <w:rPr>
          <w:rFonts w:asciiTheme="majorHAnsi" w:eastAsiaTheme="majorEastAsia" w:hAnsiTheme="majorHAnsi" w:cstheme="majorBidi"/>
          <w:noProof/>
          <w:color w:val="17428C" w:themeColor="accent1"/>
          <w:szCs w:val="26"/>
          <w:lang w:val="pl-PL"/>
        </w:rPr>
        <w:t xml:space="preserve"> </w:t>
      </w:r>
      <w:r w:rsidRPr="00AA59C3">
        <w:rPr>
          <w:rFonts w:asciiTheme="majorHAnsi" w:eastAsiaTheme="majorEastAsia" w:hAnsiTheme="majorHAnsi" w:cstheme="majorBidi"/>
          <w:noProof/>
          <w:color w:val="17428C" w:themeColor="accent1"/>
          <w:szCs w:val="26"/>
        </w:rPr>
        <w:t xml:space="preserve">Koncepcję opracowali Naut Engelen i Elena Asselin de Williencourt z Instituto Superior Técnico, Universidade de Lisboa, pod opieką </w:t>
      </w:r>
      <w:r w:rsidR="005D2C25" w:rsidRPr="005D2C25">
        <w:rPr>
          <w:rFonts w:asciiTheme="majorHAnsi" w:eastAsiaTheme="majorEastAsia" w:hAnsiTheme="majorHAnsi" w:cstheme="majorBidi"/>
          <w:noProof/>
          <w:color w:val="17428C" w:themeColor="accent1"/>
          <w:szCs w:val="26"/>
        </w:rPr>
        <w:t>prof. Manuela De Arriaga Brito Correia Guedesa.</w:t>
      </w:r>
    </w:p>
    <w:p w14:paraId="23FF12AE" w14:textId="740C8F9F" w:rsidR="00AA59C3" w:rsidRPr="00AA59C3" w:rsidRDefault="00AA59C3" w:rsidP="00AA59C3">
      <w:pPr>
        <w:jc w:val="both"/>
        <w:rPr>
          <w:rFonts w:asciiTheme="majorHAnsi" w:eastAsiaTheme="majorEastAsia" w:hAnsiTheme="majorHAnsi" w:cstheme="majorBidi"/>
          <w:noProof/>
          <w:color w:val="17428C" w:themeColor="accent1"/>
          <w:szCs w:val="26"/>
          <w:lang w:val="pl-PL"/>
        </w:rPr>
      </w:pPr>
      <w:r w:rsidRPr="001F155B">
        <w:rPr>
          <w:rFonts w:asciiTheme="majorHAnsi" w:eastAsiaTheme="majorEastAsia" w:hAnsiTheme="majorHAnsi" w:cstheme="majorBidi"/>
          <w:b/>
          <w:bCs/>
          <w:noProof/>
          <w:color w:val="17428C" w:themeColor="accent1"/>
          <w:szCs w:val="26"/>
          <w:lang w:val="pl-PL"/>
        </w:rPr>
        <w:t xml:space="preserve">III nagrodę zdobył zespół z Francji za projekt </w:t>
      </w:r>
      <w:hyperlink r:id="rId15" w:history="1">
        <w:r w:rsidRPr="005D2C25">
          <w:rPr>
            <w:rStyle w:val="Hipercze"/>
            <w:rFonts w:asciiTheme="majorHAnsi" w:eastAsiaTheme="majorEastAsia" w:hAnsiTheme="majorHAnsi" w:cstheme="majorBidi"/>
            <w:b/>
            <w:bCs/>
            <w:noProof/>
            <w:szCs w:val="26"/>
            <w:lang w:val="pl-PL"/>
          </w:rPr>
          <w:t>„The bird’s nest”</w:t>
        </w:r>
      </w:hyperlink>
      <w:r w:rsidRPr="001F155B">
        <w:rPr>
          <w:rFonts w:asciiTheme="majorHAnsi" w:eastAsiaTheme="majorEastAsia" w:hAnsiTheme="majorHAnsi" w:cstheme="majorBidi"/>
          <w:b/>
          <w:bCs/>
          <w:noProof/>
          <w:color w:val="17428C" w:themeColor="accent1"/>
          <w:szCs w:val="26"/>
          <w:lang w:val="pl-PL"/>
        </w:rPr>
        <w:t>.</w:t>
      </w:r>
      <w:r w:rsidRPr="00AA59C3">
        <w:rPr>
          <w:rFonts w:asciiTheme="majorHAnsi" w:eastAsiaTheme="majorEastAsia" w:hAnsiTheme="majorHAnsi" w:cstheme="majorBidi"/>
          <w:noProof/>
          <w:color w:val="17428C" w:themeColor="accent1"/>
          <w:szCs w:val="26"/>
          <w:lang w:val="pl-PL"/>
        </w:rPr>
        <w:t xml:space="preserve"> Autorami pracy są Clément Jégo, Fritz Arciniega i Damien Larroque z École Nationale d’Architecture et de Paysage de Bordeaux, a opiekunką projektu była </w:t>
      </w:r>
      <w:r w:rsidR="005D2C25">
        <w:rPr>
          <w:rFonts w:asciiTheme="majorHAnsi" w:eastAsiaTheme="majorEastAsia" w:hAnsiTheme="majorHAnsi" w:cstheme="majorBidi"/>
          <w:noProof/>
          <w:color w:val="17428C" w:themeColor="accent1"/>
          <w:szCs w:val="26"/>
          <w:lang w:val="pl-PL"/>
        </w:rPr>
        <w:t xml:space="preserve">dr. </w:t>
      </w:r>
      <w:r w:rsidRPr="00AA59C3">
        <w:rPr>
          <w:rFonts w:asciiTheme="majorHAnsi" w:eastAsiaTheme="majorEastAsia" w:hAnsiTheme="majorHAnsi" w:cstheme="majorBidi"/>
          <w:noProof/>
          <w:color w:val="17428C" w:themeColor="accent1"/>
          <w:szCs w:val="26"/>
          <w:lang w:val="pl-PL"/>
        </w:rPr>
        <w:t>Aline Barlet.</w:t>
      </w:r>
    </w:p>
    <w:p w14:paraId="2FBE184D" w14:textId="649335E7" w:rsidR="00AA59C3" w:rsidRPr="00AA59C3" w:rsidRDefault="00AA59C3" w:rsidP="00AA59C3">
      <w:pPr>
        <w:jc w:val="both"/>
        <w:rPr>
          <w:rFonts w:asciiTheme="majorHAnsi" w:eastAsiaTheme="majorEastAsia" w:hAnsiTheme="majorHAnsi" w:cstheme="majorBidi"/>
          <w:noProof/>
          <w:color w:val="17428C" w:themeColor="accent1"/>
          <w:szCs w:val="26"/>
          <w:lang w:val="pl-PL"/>
        </w:rPr>
      </w:pPr>
      <w:r w:rsidRPr="001F155B">
        <w:rPr>
          <w:rFonts w:asciiTheme="majorHAnsi" w:eastAsiaTheme="majorEastAsia" w:hAnsiTheme="majorHAnsi" w:cstheme="majorBidi"/>
          <w:b/>
          <w:bCs/>
          <w:noProof/>
          <w:color w:val="17428C" w:themeColor="accent1"/>
          <w:szCs w:val="26"/>
          <w:lang w:val="pl-PL"/>
        </w:rPr>
        <w:t xml:space="preserve">Student Prize została przyznana zespołowi z Chin za projekt </w:t>
      </w:r>
      <w:hyperlink r:id="rId16" w:history="1">
        <w:r w:rsidRPr="005D2C25">
          <w:rPr>
            <w:rStyle w:val="Hipercze"/>
            <w:rFonts w:asciiTheme="majorHAnsi" w:eastAsiaTheme="majorEastAsia" w:hAnsiTheme="majorHAnsi" w:cstheme="majorBidi"/>
            <w:b/>
            <w:bCs/>
            <w:noProof/>
            <w:szCs w:val="26"/>
            <w:lang w:val="pl-PL"/>
          </w:rPr>
          <w:t>„Meandering Confluence”</w:t>
        </w:r>
      </w:hyperlink>
      <w:r w:rsidRPr="001F155B">
        <w:rPr>
          <w:rFonts w:asciiTheme="majorHAnsi" w:eastAsiaTheme="majorEastAsia" w:hAnsiTheme="majorHAnsi" w:cstheme="majorBidi"/>
          <w:b/>
          <w:bCs/>
          <w:noProof/>
          <w:color w:val="17428C" w:themeColor="accent1"/>
          <w:szCs w:val="26"/>
          <w:lang w:val="pl-PL"/>
        </w:rPr>
        <w:t>.</w:t>
      </w:r>
      <w:r w:rsidRPr="00AA59C3">
        <w:rPr>
          <w:rFonts w:asciiTheme="majorHAnsi" w:eastAsiaTheme="majorEastAsia" w:hAnsiTheme="majorHAnsi" w:cstheme="majorBidi"/>
          <w:noProof/>
          <w:color w:val="17428C" w:themeColor="accent1"/>
          <w:szCs w:val="26"/>
          <w:lang w:val="pl-PL"/>
        </w:rPr>
        <w:t xml:space="preserve"> Koncepcję przygotowali Yuqian Ge, Maicun Zong i Nianci Huang z Tongji University w Szanghaju, pod opieką </w:t>
      </w:r>
      <w:r w:rsidR="005D2C25">
        <w:rPr>
          <w:rFonts w:asciiTheme="majorHAnsi" w:eastAsiaTheme="majorEastAsia" w:hAnsiTheme="majorHAnsi" w:cstheme="majorBidi"/>
          <w:noProof/>
          <w:color w:val="17428C" w:themeColor="accent1"/>
          <w:szCs w:val="26"/>
          <w:lang w:val="pl-PL"/>
        </w:rPr>
        <w:t xml:space="preserve">prof. </w:t>
      </w:r>
      <w:r w:rsidRPr="00AA59C3">
        <w:rPr>
          <w:rFonts w:asciiTheme="majorHAnsi" w:eastAsiaTheme="majorEastAsia" w:hAnsiTheme="majorHAnsi" w:cstheme="majorBidi"/>
          <w:noProof/>
          <w:color w:val="17428C" w:themeColor="accent1"/>
          <w:szCs w:val="26"/>
          <w:lang w:val="pl-PL"/>
        </w:rPr>
        <w:t>Feng Deng.</w:t>
      </w:r>
    </w:p>
    <w:p w14:paraId="63D8C037" w14:textId="6D4AEE78" w:rsidR="00AA59C3" w:rsidRPr="00AA59C3" w:rsidRDefault="00AA59C3" w:rsidP="00AA59C3">
      <w:pPr>
        <w:jc w:val="both"/>
        <w:rPr>
          <w:rFonts w:asciiTheme="majorHAnsi" w:eastAsiaTheme="majorEastAsia" w:hAnsiTheme="majorHAnsi" w:cstheme="majorBidi"/>
          <w:noProof/>
          <w:color w:val="17428C" w:themeColor="accent1"/>
          <w:szCs w:val="26"/>
          <w:lang w:val="pl-PL"/>
        </w:rPr>
      </w:pPr>
      <w:r w:rsidRPr="001F155B">
        <w:rPr>
          <w:rFonts w:asciiTheme="majorHAnsi" w:eastAsiaTheme="majorEastAsia" w:hAnsiTheme="majorHAnsi" w:cstheme="majorBidi"/>
          <w:b/>
          <w:bCs/>
          <w:noProof/>
          <w:color w:val="17428C" w:themeColor="accent1"/>
          <w:szCs w:val="26"/>
          <w:lang w:val="pl-PL"/>
        </w:rPr>
        <w:t xml:space="preserve">Teacher Prize otrzymał zespół z Maroka za projekt </w:t>
      </w:r>
      <w:hyperlink r:id="rId17" w:history="1">
        <w:r w:rsidRPr="005D2C25">
          <w:rPr>
            <w:rStyle w:val="Hipercze"/>
            <w:rFonts w:asciiTheme="majorHAnsi" w:eastAsiaTheme="majorEastAsia" w:hAnsiTheme="majorHAnsi" w:cstheme="majorBidi"/>
            <w:b/>
            <w:bCs/>
            <w:noProof/>
            <w:szCs w:val="26"/>
            <w:lang w:val="pl-PL"/>
          </w:rPr>
          <w:t>„The Sava Thread”</w:t>
        </w:r>
      </w:hyperlink>
      <w:r w:rsidRPr="001F155B">
        <w:rPr>
          <w:rFonts w:asciiTheme="majorHAnsi" w:eastAsiaTheme="majorEastAsia" w:hAnsiTheme="majorHAnsi" w:cstheme="majorBidi"/>
          <w:b/>
          <w:bCs/>
          <w:noProof/>
          <w:color w:val="17428C" w:themeColor="accent1"/>
          <w:szCs w:val="26"/>
          <w:lang w:val="pl-PL"/>
        </w:rPr>
        <w:t>.</w:t>
      </w:r>
      <w:r w:rsidRPr="00AA59C3">
        <w:rPr>
          <w:rFonts w:asciiTheme="majorHAnsi" w:eastAsiaTheme="majorEastAsia" w:hAnsiTheme="majorHAnsi" w:cstheme="majorBidi"/>
          <w:noProof/>
          <w:color w:val="17428C" w:themeColor="accent1"/>
          <w:szCs w:val="26"/>
          <w:lang w:val="pl-PL"/>
        </w:rPr>
        <w:t xml:space="preserve"> Autor</w:t>
      </w:r>
      <w:r w:rsidR="003537A2">
        <w:rPr>
          <w:rFonts w:asciiTheme="majorHAnsi" w:eastAsiaTheme="majorEastAsia" w:hAnsiTheme="majorHAnsi" w:cstheme="majorBidi"/>
          <w:noProof/>
          <w:color w:val="17428C" w:themeColor="accent1"/>
          <w:szCs w:val="26"/>
          <w:lang w:val="pl-PL"/>
        </w:rPr>
        <w:t>k</w:t>
      </w:r>
      <w:r w:rsidRPr="00AA59C3">
        <w:rPr>
          <w:rFonts w:asciiTheme="majorHAnsi" w:eastAsiaTheme="majorEastAsia" w:hAnsiTheme="majorHAnsi" w:cstheme="majorBidi"/>
          <w:noProof/>
          <w:color w:val="17428C" w:themeColor="accent1"/>
          <w:szCs w:val="26"/>
          <w:lang w:val="pl-PL"/>
        </w:rPr>
        <w:t>ami pracy są Ranya Soussi, Zeineb Sekkal i Maroua Oulboub z National School of Architecture – Tetouan,</w:t>
      </w:r>
      <w:r w:rsidR="005D2C25">
        <w:rPr>
          <w:rFonts w:asciiTheme="majorHAnsi" w:eastAsiaTheme="majorEastAsia" w:hAnsiTheme="majorHAnsi" w:cstheme="majorBidi"/>
          <w:noProof/>
          <w:color w:val="17428C" w:themeColor="accent1"/>
          <w:szCs w:val="26"/>
          <w:lang w:val="pl-PL"/>
        </w:rPr>
        <w:t xml:space="preserve"> a </w:t>
      </w:r>
      <w:r w:rsidRPr="00AA59C3">
        <w:rPr>
          <w:rFonts w:asciiTheme="majorHAnsi" w:eastAsiaTheme="majorEastAsia" w:hAnsiTheme="majorHAnsi" w:cstheme="majorBidi"/>
          <w:noProof/>
          <w:color w:val="17428C" w:themeColor="accent1"/>
          <w:szCs w:val="26"/>
          <w:lang w:val="pl-PL"/>
        </w:rPr>
        <w:t xml:space="preserve">opiekunem projektu był </w:t>
      </w:r>
      <w:r w:rsidR="005D2C25">
        <w:rPr>
          <w:rFonts w:asciiTheme="majorHAnsi" w:eastAsiaTheme="majorEastAsia" w:hAnsiTheme="majorHAnsi" w:cstheme="majorBidi"/>
          <w:noProof/>
          <w:color w:val="17428C" w:themeColor="accent1"/>
          <w:szCs w:val="26"/>
          <w:lang w:val="pl-PL"/>
        </w:rPr>
        <w:t xml:space="preserve">dr. </w:t>
      </w:r>
      <w:r w:rsidRPr="00AA59C3">
        <w:rPr>
          <w:rFonts w:asciiTheme="majorHAnsi" w:eastAsiaTheme="majorEastAsia" w:hAnsiTheme="majorHAnsi" w:cstheme="majorBidi"/>
          <w:noProof/>
          <w:color w:val="17428C" w:themeColor="accent1"/>
          <w:szCs w:val="26"/>
          <w:lang w:val="pl-PL"/>
        </w:rPr>
        <w:t>Zaid Romani.</w:t>
      </w:r>
    </w:p>
    <w:p w14:paraId="4B5CF8A7" w14:textId="409977F6" w:rsidR="00AB0483" w:rsidRPr="001F155B" w:rsidRDefault="00AA59C3" w:rsidP="00AA59C3">
      <w:pPr>
        <w:jc w:val="both"/>
        <w:rPr>
          <w:rFonts w:asciiTheme="majorHAnsi" w:eastAsiaTheme="majorEastAsia" w:hAnsiTheme="majorHAnsi" w:cstheme="majorBidi"/>
          <w:noProof/>
          <w:color w:val="17428C" w:themeColor="accent1"/>
          <w:szCs w:val="26"/>
        </w:rPr>
      </w:pPr>
      <w:r w:rsidRPr="00AA59C3">
        <w:rPr>
          <w:rFonts w:asciiTheme="majorHAnsi" w:eastAsiaTheme="majorEastAsia" w:hAnsiTheme="majorHAnsi" w:cstheme="majorBidi"/>
          <w:noProof/>
          <w:color w:val="17428C" w:themeColor="accent1"/>
          <w:szCs w:val="26"/>
          <w:lang w:val="pl-PL"/>
        </w:rPr>
        <w:t xml:space="preserve">Skład </w:t>
      </w:r>
      <w:r w:rsidR="00337337" w:rsidRPr="00926EA2">
        <w:rPr>
          <w:rFonts w:asciiTheme="majorHAnsi" w:eastAsiaTheme="majorEastAsia" w:hAnsiTheme="majorHAnsi" w:cstheme="majorBidi"/>
          <w:noProof/>
          <w:color w:val="17428C" w:themeColor="accent1"/>
          <w:szCs w:val="26"/>
          <w:lang w:val="pl-PL"/>
        </w:rPr>
        <w:t>międzynarodowego Jury</w:t>
      </w:r>
      <w:r w:rsidRPr="00AA59C3">
        <w:rPr>
          <w:rFonts w:asciiTheme="majorHAnsi" w:eastAsiaTheme="majorEastAsia" w:hAnsiTheme="majorHAnsi" w:cstheme="majorBidi"/>
          <w:noProof/>
          <w:color w:val="17428C" w:themeColor="accent1"/>
          <w:szCs w:val="26"/>
          <w:lang w:val="pl-PL"/>
        </w:rPr>
        <w:t xml:space="preserve"> został dobrany tak, aby odzwierciedlać różnorodność perspektyw.</w:t>
      </w:r>
      <w:r w:rsidR="001C2861">
        <w:rPr>
          <w:rFonts w:asciiTheme="majorHAnsi" w:eastAsiaTheme="majorEastAsia" w:hAnsiTheme="majorHAnsi" w:cstheme="majorBidi"/>
          <w:noProof/>
          <w:color w:val="17428C" w:themeColor="accent1"/>
          <w:szCs w:val="26"/>
          <w:lang w:val="pl-PL"/>
        </w:rPr>
        <w:t xml:space="preserve"> W </w:t>
      </w:r>
      <w:r w:rsidR="001F155B" w:rsidRPr="003537A2">
        <w:rPr>
          <w:rFonts w:asciiTheme="majorHAnsi" w:eastAsiaTheme="majorEastAsia" w:hAnsiTheme="majorHAnsi" w:cstheme="majorBidi"/>
          <w:noProof/>
          <w:color w:val="17428C" w:themeColor="accent1"/>
          <w:szCs w:val="26"/>
          <w:lang w:val="pl-PL"/>
        </w:rPr>
        <w:t>kapitule</w:t>
      </w:r>
      <w:r w:rsidRPr="003537A2">
        <w:rPr>
          <w:rFonts w:asciiTheme="majorHAnsi" w:eastAsiaTheme="majorEastAsia" w:hAnsiTheme="majorHAnsi" w:cstheme="majorBidi"/>
          <w:noProof/>
          <w:color w:val="17428C" w:themeColor="accent1"/>
          <w:szCs w:val="26"/>
          <w:lang w:val="pl-PL"/>
        </w:rPr>
        <w:t xml:space="preserve"> zasiedli eksperci związani z architekturą, edukacją, polityką przestrzenną, zrównoważonym budownictwem, projektowaniem fasad, organizacjami branżowymi oraz Grupą Saint-Gobain</w:t>
      </w:r>
      <w:r w:rsidR="001F155B" w:rsidRPr="003537A2">
        <w:rPr>
          <w:rFonts w:asciiTheme="majorHAnsi" w:eastAsiaTheme="majorEastAsia" w:hAnsiTheme="majorHAnsi" w:cstheme="majorBidi"/>
          <w:noProof/>
          <w:color w:val="17428C" w:themeColor="accent1"/>
          <w:szCs w:val="26"/>
          <w:lang w:val="pl-PL"/>
        </w:rPr>
        <w:t xml:space="preserve">. </w:t>
      </w:r>
      <w:r w:rsidR="001F155B" w:rsidRPr="001F155B">
        <w:rPr>
          <w:rFonts w:asciiTheme="majorHAnsi" w:eastAsiaTheme="majorEastAsia" w:hAnsiTheme="majorHAnsi" w:cstheme="majorBidi"/>
          <w:noProof/>
          <w:color w:val="17428C" w:themeColor="accent1"/>
          <w:szCs w:val="26"/>
        </w:rPr>
        <w:t>Wś</w:t>
      </w:r>
      <w:r w:rsidR="001F155B">
        <w:rPr>
          <w:rFonts w:asciiTheme="majorHAnsi" w:eastAsiaTheme="majorEastAsia" w:hAnsiTheme="majorHAnsi" w:cstheme="majorBidi"/>
          <w:noProof/>
          <w:color w:val="17428C" w:themeColor="accent1"/>
          <w:szCs w:val="26"/>
        </w:rPr>
        <w:t>ród nich znaleźli się:</w:t>
      </w:r>
      <w:r w:rsidRPr="001F155B">
        <w:rPr>
          <w:rFonts w:asciiTheme="majorHAnsi" w:eastAsiaTheme="majorEastAsia" w:hAnsiTheme="majorHAnsi" w:cstheme="majorBidi"/>
          <w:noProof/>
          <w:color w:val="17428C" w:themeColor="accent1"/>
          <w:szCs w:val="26"/>
        </w:rPr>
        <w:t xml:space="preserve"> </w:t>
      </w:r>
      <w:r w:rsidRPr="00AA59C3">
        <w:rPr>
          <w:rFonts w:asciiTheme="majorHAnsi" w:eastAsiaTheme="majorEastAsia" w:hAnsiTheme="majorHAnsi" w:cstheme="majorBidi"/>
          <w:noProof/>
          <w:color w:val="17428C" w:themeColor="accent1"/>
          <w:szCs w:val="26"/>
        </w:rPr>
        <w:t>Nebojša Antešević (Architectural Curator, Museum of Applied Arts, Belgrade), Bojana Zeković (President, Green Building Council Serbia; Assistant Professor, Faculty of Architecture, University of Belgrade), Jugoslav Janjić (Architect, Owner and Managing Partner, Dizajn Arhitektura), Vladimír Hain (Associate Professor, Engineer Architect, Institute of Structures in Architecture and Engineering Buildings, Slovak University of Technology, Bratislava; laureat 1. nagrody Architecture Student Contest 2009), Sofia Galán Rivera (Associate, Spain Building Envelopes and Façades Leader, Arup), Daniel Fügenschuh (President, Architects’ Council of Europe), Pascal Eveillard (Director of Sustainable Construction, Saint-Gobain) oraz Pierre-Alain Gillet (International Marketing Director Building Solutions, Saint-Gobain).</w:t>
      </w:r>
    </w:p>
    <w:p w14:paraId="08572DF6" w14:textId="16AC3633" w:rsidR="00AA59C3" w:rsidRPr="00AA59C3" w:rsidRDefault="00AA59C3" w:rsidP="00AA59C3">
      <w:pPr>
        <w:jc w:val="both"/>
        <w:rPr>
          <w:rFonts w:asciiTheme="majorHAnsi" w:eastAsiaTheme="majorEastAsia" w:hAnsiTheme="majorHAnsi" w:cstheme="majorBidi"/>
          <w:noProof/>
          <w:color w:val="17428C" w:themeColor="accent1"/>
          <w:szCs w:val="26"/>
          <w:lang w:val="pl-PL"/>
        </w:rPr>
      </w:pPr>
      <w:r w:rsidRPr="00AA59C3">
        <w:rPr>
          <w:rFonts w:asciiTheme="majorHAnsi" w:eastAsiaTheme="majorEastAsia" w:hAnsiTheme="majorHAnsi" w:cstheme="majorBidi"/>
          <w:noProof/>
          <w:color w:val="17428C" w:themeColor="accent1"/>
          <w:szCs w:val="26"/>
          <w:lang w:val="pl-PL"/>
        </w:rPr>
        <w:t>Architecture Student Contest ma już ponad 20-letnią historię. Konkurs został zorganizowany po raz pierwszy w 2004 roku przez Saint-Gobain Isover w Serbii, a od 2005 roku ma charakter międzynarodowy. Jego celem jest umożliwienie studentom pracy nad realnym zadaniem opartym na briefie i lokalnych uwarunkowaniach, a jednocześnie rozwijanie świadomości roli zrównoważonego budownictwa w projektowaniu współczesnych miast. Od pierwszej edycji inicjatywa stała się platformą wymiany wiedzy, doświadczeń i inspiracji dla kolejnych pokoleń przyszłych architektów.</w:t>
      </w:r>
    </w:p>
    <w:p w14:paraId="5D67CB16" w14:textId="53BA547F" w:rsidR="001F155B" w:rsidRPr="001C2861" w:rsidRDefault="00AB0483" w:rsidP="001C2861">
      <w:pPr>
        <w:jc w:val="both"/>
        <w:rPr>
          <w:rFonts w:asciiTheme="majorHAnsi" w:eastAsiaTheme="majorEastAsia" w:hAnsiTheme="majorHAnsi" w:cstheme="majorBidi"/>
          <w:b/>
          <w:bCs/>
          <w:noProof/>
          <w:color w:val="17428C" w:themeColor="accent1"/>
          <w:szCs w:val="26"/>
          <w:lang w:val="pl-PL"/>
        </w:rPr>
      </w:pPr>
      <w:r>
        <w:rPr>
          <w:rFonts w:asciiTheme="majorHAnsi" w:eastAsiaTheme="majorEastAsia" w:hAnsiTheme="majorHAnsi" w:cstheme="majorBidi"/>
          <w:b/>
          <w:bCs/>
          <w:noProof/>
          <w:color w:val="17428C" w:themeColor="accent1"/>
          <w:szCs w:val="26"/>
          <w:lang w:val="pl-PL"/>
        </w:rPr>
        <w:lastRenderedPageBreak/>
        <w:drawing>
          <wp:inline distT="0" distB="0" distL="0" distR="0" wp14:anchorId="5D100426" wp14:editId="75C118DD">
            <wp:extent cx="5715000" cy="3810000"/>
            <wp:effectExtent l="0" t="0" r="0" b="0"/>
            <wp:docPr id="1225061188"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061188" name="Obraz 122506118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15000" cy="3810000"/>
                    </a:xfrm>
                    <a:prstGeom prst="rect">
                      <a:avLst/>
                    </a:prstGeom>
                  </pic:spPr>
                </pic:pic>
              </a:graphicData>
            </a:graphic>
          </wp:inline>
        </w:drawing>
      </w:r>
    </w:p>
    <w:p w14:paraId="748E8345" w14:textId="68F01523" w:rsidR="0047007D" w:rsidRPr="000D264E" w:rsidRDefault="00D222D6" w:rsidP="0047007D">
      <w:pPr>
        <w:rPr>
          <w:b/>
          <w:bCs/>
          <w:noProof/>
          <w:color w:val="67B9B0" w:themeColor="accent4"/>
          <w:lang w:val="pl-PL"/>
        </w:rPr>
      </w:pPr>
      <w:r w:rsidRPr="000D264E">
        <w:rPr>
          <w:b/>
          <w:bCs/>
          <w:noProof/>
          <w:color w:val="67B9B0" w:themeColor="accent4"/>
          <w:lang w:val="pl-PL"/>
        </w:rPr>
        <w:t xml:space="preserve">O </w:t>
      </w:r>
      <w:r w:rsidR="0047007D" w:rsidRPr="000D264E">
        <w:rPr>
          <w:b/>
          <w:bCs/>
          <w:noProof/>
          <w:color w:val="67B9B0" w:themeColor="accent4"/>
          <w:lang w:val="pl-PL"/>
        </w:rPr>
        <w:t>Saint-Gobain</w:t>
      </w:r>
    </w:p>
    <w:p w14:paraId="381F7708" w14:textId="0CAE39BB" w:rsidR="00AA59C3" w:rsidRDefault="00AA59C3" w:rsidP="00EC1D65">
      <w:pPr>
        <w:pStyle w:val="Nagwek2"/>
      </w:pPr>
      <w:r w:rsidRPr="008939A6">
        <w:t>Saint-Gobain, światowy lider w dziedzinie lekkiego i zrównoważonego budownictwa, projektuje, produkuje i dystrybuuje materiały oraz świadczy usługi dostosowane do potrzeb rynku budowlanego w segmencie budynków mieszkalnych, użyteczności publicznej oraz infrastruktury. Zintegrowane i innowacyjne rozwiązania firmy zapewniają klientom zrównoważony rozwój, wydajność oraz komfort. Grupa kieruje się swoim celem nadrzędnym: „MAKING THE WORLD</w:t>
      </w:r>
      <w:r w:rsidR="005D2C25">
        <w:t xml:space="preserve"> A </w:t>
      </w:r>
      <w:r w:rsidRPr="008939A6">
        <w:t>BETTER HOME".</w:t>
      </w:r>
    </w:p>
    <w:p w14:paraId="183C8BD7" w14:textId="77777777" w:rsidR="00AA59C3" w:rsidRPr="00AB0483" w:rsidRDefault="00AA59C3" w:rsidP="00EC1D65">
      <w:pPr>
        <w:pStyle w:val="Nagwek2"/>
        <w:rPr>
          <w:lang w:val="pl-PL"/>
        </w:rPr>
      </w:pPr>
    </w:p>
    <w:p w14:paraId="5234F039" w14:textId="2A263E9B" w:rsidR="00EC1D65" w:rsidRPr="000D264E" w:rsidRDefault="00EC1D65" w:rsidP="00EC1D65">
      <w:pPr>
        <w:pStyle w:val="Nagwek2"/>
        <w:rPr>
          <w:b/>
          <w:bCs/>
          <w:noProof/>
          <w:lang w:val="pl-PL"/>
        </w:rPr>
      </w:pPr>
      <w:r w:rsidRPr="000D264E">
        <w:rPr>
          <w:b/>
          <w:bCs/>
          <w:noProof/>
          <w:lang w:val="pl-PL"/>
        </w:rPr>
        <w:t>Wartość sprzedaży w 202</w:t>
      </w:r>
      <w:r w:rsidR="000D264E">
        <w:rPr>
          <w:b/>
          <w:bCs/>
          <w:noProof/>
          <w:lang w:val="pl-PL"/>
        </w:rPr>
        <w:t>5</w:t>
      </w:r>
      <w:r w:rsidRPr="000D264E">
        <w:rPr>
          <w:b/>
          <w:bCs/>
          <w:noProof/>
          <w:lang w:val="pl-PL"/>
        </w:rPr>
        <w:t xml:space="preserve"> roku: 4</w:t>
      </w:r>
      <w:r w:rsidR="000D264E">
        <w:rPr>
          <w:b/>
          <w:bCs/>
          <w:noProof/>
          <w:lang w:val="pl-PL"/>
        </w:rPr>
        <w:t>6,5</w:t>
      </w:r>
      <w:r w:rsidRPr="000D264E">
        <w:rPr>
          <w:b/>
          <w:bCs/>
          <w:noProof/>
          <w:lang w:val="pl-PL"/>
        </w:rPr>
        <w:t xml:space="preserve"> mld EUR.</w:t>
      </w:r>
    </w:p>
    <w:p w14:paraId="53F09166" w14:textId="6542A3AB" w:rsidR="00EC1D65" w:rsidRPr="000D264E" w:rsidRDefault="00EC1D65" w:rsidP="00EC1D65">
      <w:pPr>
        <w:pStyle w:val="Nagwek2"/>
        <w:rPr>
          <w:b/>
          <w:bCs/>
          <w:noProof/>
          <w:lang w:val="pl-PL"/>
        </w:rPr>
      </w:pPr>
      <w:r w:rsidRPr="000D264E">
        <w:rPr>
          <w:b/>
          <w:bCs/>
          <w:noProof/>
          <w:lang w:val="pl-PL"/>
        </w:rPr>
        <w:t>16</w:t>
      </w:r>
      <w:r w:rsidR="000D264E">
        <w:rPr>
          <w:b/>
          <w:bCs/>
          <w:noProof/>
          <w:lang w:val="pl-PL"/>
        </w:rPr>
        <w:t>2</w:t>
      </w:r>
      <w:r w:rsidRPr="000D264E">
        <w:rPr>
          <w:b/>
          <w:bCs/>
          <w:noProof/>
          <w:lang w:val="pl-PL"/>
        </w:rPr>
        <w:t xml:space="preserve"> 000 pracowników w </w:t>
      </w:r>
      <w:r w:rsidR="000D264E">
        <w:rPr>
          <w:b/>
          <w:bCs/>
          <w:noProof/>
          <w:lang w:val="pl-PL"/>
        </w:rPr>
        <w:t>80</w:t>
      </w:r>
      <w:r w:rsidRPr="000D264E">
        <w:rPr>
          <w:b/>
          <w:bCs/>
          <w:noProof/>
          <w:lang w:val="pl-PL"/>
        </w:rPr>
        <w:t xml:space="preserve"> krajach.</w:t>
      </w:r>
    </w:p>
    <w:p w14:paraId="399BB5AA" w14:textId="280FC549" w:rsidR="00EC1D65" w:rsidRPr="000D264E" w:rsidRDefault="00EC1D65" w:rsidP="007D6266">
      <w:pPr>
        <w:pStyle w:val="Nagwek2"/>
        <w:rPr>
          <w:b/>
          <w:bCs/>
          <w:noProof/>
          <w:lang w:val="pl-PL"/>
        </w:rPr>
      </w:pPr>
      <w:r w:rsidRPr="000D264E">
        <w:rPr>
          <w:b/>
          <w:bCs/>
          <w:noProof/>
          <w:lang w:val="pl-PL"/>
        </w:rPr>
        <w:t>Firma podjęła zobowiązanie do osiągnięcia neutralności węglowej do 2050 roku.</w:t>
      </w:r>
    </w:p>
    <w:p w14:paraId="2667576A" w14:textId="77777777" w:rsidR="0047007D" w:rsidRPr="000D264E" w:rsidRDefault="0047007D" w:rsidP="0047007D">
      <w:pPr>
        <w:pStyle w:val="Nagwek2"/>
        <w:rPr>
          <w:noProof/>
          <w:lang w:val="pl-PL"/>
        </w:rPr>
      </w:pPr>
    </w:p>
    <w:p w14:paraId="3ACE7E50" w14:textId="019C55E5" w:rsidR="00AA59C3" w:rsidRDefault="00AA59C3" w:rsidP="00D222D6">
      <w:pPr>
        <w:spacing w:after="240" w:line="240" w:lineRule="auto"/>
        <w:rPr>
          <w:rFonts w:asciiTheme="majorHAnsi" w:eastAsiaTheme="majorEastAsia" w:hAnsiTheme="majorHAnsi" w:cstheme="majorBidi"/>
          <w:noProof/>
          <w:color w:val="17428C" w:themeColor="accent1"/>
          <w:szCs w:val="26"/>
          <w:lang w:val="pl-PL"/>
        </w:rPr>
      </w:pPr>
      <w:r w:rsidRPr="00AA59C3">
        <w:rPr>
          <w:rFonts w:asciiTheme="majorHAnsi" w:eastAsiaTheme="majorEastAsia" w:hAnsiTheme="majorHAnsi" w:cstheme="majorBidi"/>
          <w:noProof/>
          <w:color w:val="17428C" w:themeColor="accent1"/>
          <w:szCs w:val="26"/>
          <w:lang w:val="pl-PL"/>
        </w:rPr>
        <w:t xml:space="preserve">Więcej informacji o Saint-Gobain: </w:t>
      </w:r>
      <w:hyperlink r:id="rId19" w:history="1">
        <w:r w:rsidRPr="00AA59C3">
          <w:rPr>
            <w:rStyle w:val="Hipercze"/>
            <w:rFonts w:asciiTheme="majorHAnsi" w:eastAsiaTheme="majorEastAsia" w:hAnsiTheme="majorHAnsi" w:cstheme="majorBidi"/>
            <w:noProof/>
            <w:szCs w:val="26"/>
            <w:lang w:val="pl-PL"/>
          </w:rPr>
          <w:t>www.saint-gobain.pl</w:t>
        </w:r>
      </w:hyperlink>
      <w:r w:rsidRPr="00AA59C3">
        <w:rPr>
          <w:rFonts w:asciiTheme="majorHAnsi" w:eastAsiaTheme="majorEastAsia" w:hAnsiTheme="majorHAnsi" w:cstheme="majorBidi"/>
          <w:noProof/>
          <w:color w:val="17428C" w:themeColor="accent1"/>
          <w:szCs w:val="26"/>
          <w:lang w:val="pl-PL"/>
        </w:rPr>
        <w:t xml:space="preserve"> oraz na LinkedIn: </w:t>
      </w:r>
      <w:hyperlink r:id="rId20" w:history="1">
        <w:r w:rsidRPr="00AA59C3">
          <w:rPr>
            <w:rStyle w:val="Hipercze"/>
            <w:rFonts w:asciiTheme="majorHAnsi" w:eastAsiaTheme="majorEastAsia" w:hAnsiTheme="majorHAnsi" w:cstheme="majorBidi"/>
            <w:noProof/>
            <w:szCs w:val="26"/>
            <w:lang w:val="pl-PL"/>
          </w:rPr>
          <w:t>Saint-Gobain w Polsce</w:t>
        </w:r>
      </w:hyperlink>
      <w:r>
        <w:rPr>
          <w:rFonts w:asciiTheme="majorHAnsi" w:eastAsiaTheme="majorEastAsia" w:hAnsiTheme="majorHAnsi" w:cstheme="majorBidi"/>
          <w:noProof/>
          <w:color w:val="17428C" w:themeColor="accent1"/>
          <w:szCs w:val="26"/>
          <w:lang w:val="pl-PL"/>
        </w:rPr>
        <w:t>.</w:t>
      </w:r>
    </w:p>
    <w:p w14:paraId="5553A54E" w14:textId="5353396A" w:rsidR="00D222D6" w:rsidRPr="000D264E" w:rsidRDefault="00D222D6" w:rsidP="00D222D6">
      <w:pPr>
        <w:spacing w:after="240" w:line="240" w:lineRule="auto"/>
        <w:rPr>
          <w:b/>
          <w:bCs/>
          <w:noProof/>
          <w:color w:val="67B9B0" w:themeColor="accent4"/>
          <w:lang w:val="pl-PL"/>
        </w:rPr>
      </w:pPr>
      <w:r w:rsidRPr="000D264E">
        <w:rPr>
          <w:b/>
          <w:bCs/>
          <w:noProof/>
          <w:color w:val="67B9B0" w:themeColor="accent4"/>
          <w:lang w:val="pl-PL"/>
        </w:rPr>
        <w:t>Dodatkowe informacje:</w:t>
      </w:r>
    </w:p>
    <w:p w14:paraId="1FB66301" w14:textId="656DC7E1" w:rsidR="00D222D6" w:rsidRPr="000D264E" w:rsidRDefault="00D222D6" w:rsidP="00D222D6">
      <w:pPr>
        <w:pStyle w:val="Nagwek2"/>
        <w:spacing w:line="240" w:lineRule="auto"/>
        <w:rPr>
          <w:noProof/>
          <w:lang w:val="pl-PL"/>
        </w:rPr>
      </w:pPr>
      <w:r w:rsidRPr="000D264E">
        <w:rPr>
          <w:noProof/>
          <w:lang w:val="pl-PL"/>
        </w:rPr>
        <w:t xml:space="preserve">Michał Ciesielski, dyrektor marki, komunikacji i </w:t>
      </w:r>
      <w:r w:rsidR="00AA59C3">
        <w:rPr>
          <w:noProof/>
          <w:lang w:val="pl-PL"/>
        </w:rPr>
        <w:t>marketingu strategicznego</w:t>
      </w:r>
      <w:r w:rsidRPr="000D264E">
        <w:rPr>
          <w:noProof/>
          <w:lang w:val="pl-PL"/>
        </w:rPr>
        <w:t xml:space="preserve"> </w:t>
      </w:r>
    </w:p>
    <w:p w14:paraId="49F4D0AB" w14:textId="52B0790E" w:rsidR="00D222D6" w:rsidRPr="000D264E" w:rsidRDefault="00D222D6" w:rsidP="00D222D6">
      <w:pPr>
        <w:pStyle w:val="Nagwek2"/>
        <w:spacing w:after="240" w:line="240" w:lineRule="auto"/>
        <w:rPr>
          <w:noProof/>
          <w:lang w:val="pl-PL"/>
        </w:rPr>
      </w:pPr>
      <w:hyperlink r:id="rId21" w:history="1">
        <w:r w:rsidRPr="000D264E">
          <w:rPr>
            <w:rStyle w:val="Hipercze"/>
            <w:noProof/>
            <w:lang w:val="pl-PL"/>
          </w:rPr>
          <w:t>michal.ciesielski@saint-gobain.com</w:t>
        </w:r>
      </w:hyperlink>
    </w:p>
    <w:p w14:paraId="60EDBFE6" w14:textId="768E3E31" w:rsidR="00D222D6" w:rsidRPr="000D264E" w:rsidRDefault="00D222D6" w:rsidP="00D222D6">
      <w:pPr>
        <w:pStyle w:val="Nagwek2"/>
        <w:spacing w:line="240" w:lineRule="auto"/>
        <w:rPr>
          <w:noProof/>
          <w:lang w:val="pl-PL"/>
        </w:rPr>
      </w:pPr>
      <w:r w:rsidRPr="000D264E">
        <w:rPr>
          <w:noProof/>
          <w:lang w:val="pl-PL"/>
        </w:rPr>
        <w:t>Monika Mazurek-Skrzekowska, kierownik marki i komunikacji</w:t>
      </w:r>
    </w:p>
    <w:p w14:paraId="0B2ACEE5" w14:textId="40C54706" w:rsidR="0047007D" w:rsidRPr="006E7908" w:rsidRDefault="00D222D6" w:rsidP="00D222D6">
      <w:pPr>
        <w:pStyle w:val="Nagwek2"/>
        <w:spacing w:line="240" w:lineRule="auto"/>
        <w:rPr>
          <w:noProof/>
          <w:lang w:val="en-GB"/>
        </w:rPr>
      </w:pPr>
      <w:hyperlink r:id="rId22" w:history="1">
        <w:r w:rsidRPr="00AE42C8">
          <w:rPr>
            <w:rStyle w:val="Hipercze"/>
            <w:noProof/>
            <w:lang w:val="en-GB"/>
          </w:rPr>
          <w:t>monika.mazurek@saint-gobain.com</w:t>
        </w:r>
      </w:hyperlink>
      <w:r>
        <w:rPr>
          <w:noProof/>
          <w:lang w:val="en-GB"/>
        </w:rPr>
        <w:t xml:space="preserve"> </w:t>
      </w:r>
    </w:p>
    <w:sectPr w:rsidR="0047007D" w:rsidRPr="006E7908" w:rsidSect="00741AF9">
      <w:headerReference w:type="default" r:id="rId23"/>
      <w:footerReference w:type="default" r:id="rId24"/>
      <w:headerReference w:type="first" r:id="rId25"/>
      <w:pgSz w:w="11906" w:h="16838" w:code="9"/>
      <w:pgMar w:top="2268" w:right="1276" w:bottom="1134" w:left="1134" w:header="567"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9BEDEC" w14:textId="77777777" w:rsidR="005060CE" w:rsidRDefault="005060CE" w:rsidP="000D2398">
      <w:pPr>
        <w:spacing w:after="0" w:line="240" w:lineRule="auto"/>
      </w:pPr>
      <w:r>
        <w:separator/>
      </w:r>
    </w:p>
  </w:endnote>
  <w:endnote w:type="continuationSeparator" w:id="0">
    <w:p w14:paraId="0882D649" w14:textId="77777777" w:rsidR="005060CE" w:rsidRDefault="005060CE" w:rsidP="000D23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panose1 w:val="00000000000000000000"/>
    <w:charset w:val="00"/>
    <w:family w:val="roman"/>
    <w:notTrueType/>
    <w:pitch w:val="variable"/>
    <w:sig w:usb0="60000287" w:usb1="00000001" w:usb2="00000000" w:usb3="00000000" w:csb0="0000019F" w:csb1="00000000"/>
  </w:font>
  <w:font w:name="HG Mincho Light J">
    <w:altName w:val="Times New Roman"/>
    <w:panose1 w:val="00000000000000000000"/>
    <w:charset w:val="00"/>
    <w:family w:val="roman"/>
    <w:notTrueType/>
    <w:pitch w:val="default"/>
  </w:font>
  <w:font w:name="Arial (Headings)">
    <w:altName w:val="Arial"/>
    <w:panose1 w:val="00000000000000000000"/>
    <w:charset w:val="00"/>
    <w:family w:val="roman"/>
    <w:notTrueType/>
    <w:pitch w:val="default"/>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52A01" w14:textId="77777777" w:rsidR="00FD3F98" w:rsidRPr="005F2BFA" w:rsidRDefault="00FD3F98" w:rsidP="00FD3F98">
    <w:pPr>
      <w:pStyle w:val="Nagwek2"/>
      <w:spacing w:line="240" w:lineRule="auto"/>
      <w:jc w:val="center"/>
      <w:rPr>
        <w:b/>
        <w:bCs/>
        <w:noProof/>
        <w:sz w:val="16"/>
        <w:szCs w:val="20"/>
      </w:rPr>
    </w:pPr>
    <w:r>
      <w:rPr>
        <w:b/>
        <w:bCs/>
        <w:noProof/>
        <w:sz w:val="16"/>
        <w:szCs w:val="20"/>
      </w:rPr>
      <w:t xml:space="preserve">Saint-Gobain w Polsce </w:t>
    </w:r>
    <w:r w:rsidRPr="00ED2DBB">
      <w:rPr>
        <w:b/>
        <w:bCs/>
        <w:noProof/>
        <w:sz w:val="16"/>
        <w:szCs w:val="20"/>
        <w:lang w:val="pl-PL"/>
      </w:rPr>
      <w:t>• www.saint-gobain.pl</w:t>
    </w:r>
  </w:p>
  <w:p w14:paraId="7B47FD22" w14:textId="7B026622" w:rsidR="008063BD" w:rsidRPr="00FD3F98" w:rsidRDefault="008063BD" w:rsidP="00FD3F98">
    <w:pPr>
      <w:pStyle w:val="Stopka"/>
      <w:rPr>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02B6B2" w14:textId="77777777" w:rsidR="005060CE" w:rsidRDefault="005060CE" w:rsidP="000D2398">
      <w:pPr>
        <w:spacing w:after="0" w:line="240" w:lineRule="auto"/>
      </w:pPr>
      <w:r>
        <w:separator/>
      </w:r>
    </w:p>
  </w:footnote>
  <w:footnote w:type="continuationSeparator" w:id="0">
    <w:p w14:paraId="75DFBF98" w14:textId="77777777" w:rsidR="005060CE" w:rsidRDefault="005060CE" w:rsidP="000D23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0311B" w14:textId="20E2802E" w:rsidR="006B5242" w:rsidRPr="000D264E" w:rsidRDefault="006F2B82" w:rsidP="006B5242">
    <w:pPr>
      <w:pStyle w:val="Nagwek"/>
      <w:tabs>
        <w:tab w:val="clear" w:pos="4680"/>
        <w:tab w:val="clear" w:pos="9360"/>
        <w:tab w:val="left" w:pos="5745"/>
      </w:tabs>
      <w:ind w:left="-567"/>
      <w:rPr>
        <w:b/>
        <w:bCs/>
        <w:noProof/>
        <w:color w:val="17428C" w:themeColor="accent1"/>
        <w:sz w:val="40"/>
        <w:szCs w:val="40"/>
        <w:lang w:val="pl-PL"/>
      </w:rPr>
    </w:pPr>
    <w:r w:rsidRPr="00B272AB">
      <w:rPr>
        <w:b/>
        <w:bCs/>
        <w:noProof/>
        <w:sz w:val="28"/>
        <w:szCs w:val="28"/>
        <w:lang w:val="en-GB"/>
        <w14:textFill>
          <w14:gradFill>
            <w14:gsLst>
              <w14:gs w14:pos="0">
                <w14:schemeClr w14:val="accent4"/>
              </w14:gs>
              <w14:gs w14:pos="50000">
                <w14:schemeClr w14:val="accent5"/>
              </w14:gs>
              <w14:gs w14:pos="100000">
                <w14:schemeClr w14:val="accent1"/>
              </w14:gs>
            </w14:gsLst>
            <w14:lin w14:ang="0" w14:scaled="0"/>
          </w14:gradFill>
        </w14:textFill>
      </w:rPr>
      <mc:AlternateContent>
        <mc:Choice Requires="wps">
          <w:drawing>
            <wp:anchor distT="0" distB="0" distL="114300" distR="114300" simplePos="0" relativeHeight="251670528" behindDoc="0" locked="0" layoutInCell="1" allowOverlap="1" wp14:anchorId="2082D494" wp14:editId="15FEF474">
              <wp:simplePos x="0" y="0"/>
              <wp:positionH relativeFrom="page">
                <wp:align>left</wp:align>
              </wp:positionH>
              <wp:positionV relativeFrom="paragraph">
                <wp:posOffset>-361950</wp:posOffset>
              </wp:positionV>
              <wp:extent cx="7559675" cy="10194554"/>
              <wp:effectExtent l="0" t="0" r="3175" b="0"/>
              <wp:wrapNone/>
              <wp:docPr id="755820165" name="Freeform: Shape 1"/>
              <wp:cNvGraphicFramePr/>
              <a:graphic xmlns:a="http://schemas.openxmlformats.org/drawingml/2006/main">
                <a:graphicData uri="http://schemas.microsoft.com/office/word/2010/wordprocessingShape">
                  <wps:wsp>
                    <wps:cNvSpPr/>
                    <wps:spPr>
                      <a:xfrm>
                        <a:off x="0" y="0"/>
                        <a:ext cx="7559675" cy="10194554"/>
                      </a:xfrm>
                      <a:custGeom>
                        <a:avLst/>
                        <a:gdLst>
                          <a:gd name="connsiteX0" fmla="*/ 215837 w 7559675"/>
                          <a:gd name="connsiteY0" fmla="*/ 1488141 h 10194554"/>
                          <a:gd name="connsiteX1" fmla="*/ 215837 w 7559675"/>
                          <a:gd name="connsiteY1" fmla="*/ 10152448 h 10194554"/>
                          <a:gd name="connsiteX2" fmla="*/ 0 w 7559675"/>
                          <a:gd name="connsiteY2" fmla="*/ 10194554 h 10194554"/>
                          <a:gd name="connsiteX3" fmla="*/ 0 w 7559675"/>
                          <a:gd name="connsiteY3" fmla="*/ 1603031 h 10194554"/>
                          <a:gd name="connsiteX4" fmla="*/ 0 w 7559675"/>
                          <a:gd name="connsiteY4" fmla="*/ 0 h 10194554"/>
                          <a:gd name="connsiteX5" fmla="*/ 7559675 w 7559675"/>
                          <a:gd name="connsiteY5" fmla="*/ 0 h 10194554"/>
                          <a:gd name="connsiteX6" fmla="*/ 7559675 w 7559675"/>
                          <a:gd name="connsiteY6" fmla="*/ 8719795 h 10194554"/>
                          <a:gd name="connsiteX7" fmla="*/ 7343837 w 7559675"/>
                          <a:gd name="connsiteY7" fmla="*/ 8761901 h 10194554"/>
                          <a:gd name="connsiteX8" fmla="*/ 7343837 w 7559675"/>
                          <a:gd name="connsiteY8" fmla="*/ 215906 h 10194554"/>
                          <a:gd name="connsiteX9" fmla="*/ 2605910 w 7559675"/>
                          <a:gd name="connsiteY9" fmla="*/ 215906 h 10194554"/>
                          <a:gd name="connsiteX10" fmla="*/ 3008625 w 7559675"/>
                          <a:gd name="connsiteY10" fmla="*/ 1541 h 10194554"/>
                          <a:gd name="connsiteX11" fmla="*/ 0 w 7559675"/>
                          <a:gd name="connsiteY11" fmla="*/ 1541 h 101945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7559675" h="10194554">
                            <a:moveTo>
                              <a:pt x="215837" y="1488141"/>
                            </a:moveTo>
                            <a:lnTo>
                              <a:pt x="215837" y="10152448"/>
                            </a:lnTo>
                            <a:lnTo>
                              <a:pt x="0" y="10194554"/>
                            </a:lnTo>
                            <a:lnTo>
                              <a:pt x="0" y="1603031"/>
                            </a:lnTo>
                            <a:close/>
                            <a:moveTo>
                              <a:pt x="0" y="0"/>
                            </a:moveTo>
                            <a:lnTo>
                              <a:pt x="7559675" y="0"/>
                            </a:lnTo>
                            <a:lnTo>
                              <a:pt x="7559675" y="8719795"/>
                            </a:lnTo>
                            <a:lnTo>
                              <a:pt x="7343837" y="8761901"/>
                            </a:lnTo>
                            <a:lnTo>
                              <a:pt x="7343837" y="215906"/>
                            </a:lnTo>
                            <a:lnTo>
                              <a:pt x="2605910" y="215906"/>
                            </a:lnTo>
                            <a:lnTo>
                              <a:pt x="3008625" y="1541"/>
                            </a:lnTo>
                            <a:lnTo>
                              <a:pt x="0" y="1541"/>
                            </a:lnTo>
                            <a:close/>
                          </a:path>
                        </a:pathLst>
                      </a:custGeom>
                      <a:gradFill flip="none" rotWithShape="1">
                        <a:gsLst>
                          <a:gs pos="0">
                            <a:schemeClr val="accent4"/>
                          </a:gs>
                          <a:gs pos="50000">
                            <a:schemeClr val="accent5"/>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anchor>
          </w:drawing>
        </mc:Choice>
        <mc:Fallback xmlns:a14="http://schemas.microsoft.com/office/drawing/2010/main" xmlns:pic="http://schemas.openxmlformats.org/drawingml/2006/picture" xmlns:a="http://schemas.openxmlformats.org/drawingml/2006/main">
          <w:pict>
            <v:shape id="Freeform: Shape 1" style="position:absolute;margin-left:0;margin-top:-28.5pt;width:595.25pt;height:802.7pt;z-index:251670528;visibility:visible;mso-wrap-style:square;mso-wrap-distance-left:9pt;mso-wrap-distance-top:0;mso-wrap-distance-right:9pt;mso-wrap-distance-bottom:0;mso-position-horizontal:left;mso-position-horizontal-relative:page;mso-position-vertical:absolute;mso-position-vertical-relative:text;v-text-anchor:middle" coordsize="7559675,10194554" o:spid="_x0000_s1026" fillcolor="#67b9b0 [3207]" stroked="f" strokeweight="1pt" path="m215837,1488141r,8664307l,10194554,,1603031,215837,1488141xm,l7559675,r,8719795l7343837,8761901r,-8545995l2605910,215906,3008625,1541,,154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5ZLAQAAJcPAAAOAAAAZHJzL2Uyb0RvYy54bWysV0uP2zYQvhfofyB0DNCVZFu2Zaw3KBIk&#10;l6AN8kDaI5eiLAEUqZJc2/vvO3zJtHezlhbxQdZjvhnOx3nx9u2xY2hPpWoF3yb5TZYgyomoWr7b&#10;Jt+/ffhjnSClMa8wE5xuk0eqkrd3v/92e+g3dCYawSoqESjhanPot0mjdb9JU0Ua2mF1I3rK4WMt&#10;ZIc1PMpdWkl8AO0dS2dZtkwPQla9FIQqBW/fu4/JndVf15Tov+taUY3YNoG1aXuV9npvrundLd7s&#10;JO6blvhl4FesosMtB6ODqvdYY/Qg2yequpZIoUStb4joUlHXLaHWB/Amzy68+drgnlpfgBzVDzSp&#10;X6eW/LX/2n+WQMOhVxsFt8aLYy078w/rQ0dL1uNAFj1qRODlqijK5apIEIFveZaXi6JYGD7TE548&#10;KP2RCqsL7z8p7eiu4M6SVSGOO4gKIjhXrab/wBbVHYMdeJOiWV6s5yt0QMGSB19g/o0x+WK9zhc5&#10;alC8ItiWJ5byV1iKMaC/mC0W6xGmZpGp7Lo/sXjwYoSV+TQrsXi+zObZfAxri2lGzsWvbwpE07D9&#10;ftev8xWDshFELV9jJAatV3m5KosRplaxqfliPiqeY9B6tczLbMzOQJ09UTfWVAyCdCuz5QinysjS&#10;bJkVZT4iqM9AYy3lcWrPs2y9nBXX4+EMlRfjqkGc2iPcyWP5Z2xADdyFKoebUPjIkfvKB3cImxaZ&#10;2a7RC2XqbFwGoaiGR6hwrqwCypTNK2BYWgzOJ4Gh+MTg2SQw1JQYPJ8EhloRg0MrGecz1IAYXEyy&#10;DLkdg5eTwJCtMXg1CQz5F4PXk8CQUjG4nAQ2SRKj4XlSjF0G2VmUQfTDtvlQlzCDmemL2elLJwim&#10;L5kgmL7ujUm86bE2GRJu0SGaLZpotDACndjTb8KKapMxbkawrvjW7904CTL+M4Dv4B4R5MJ/bw04&#10;mkIbHiPqeumFJGFCUevtaWGxgcD+6ev5MsIIZPYsyAaJ8O/0xZK+UV2s5ULe9QpLoe82o+Vdy3hR&#10;3DcIq36EuC/ybkOhdL+o2+/NU7HANsShCS47kg5RZoIzGkth9q8+tIyhmrVw/uBwSoEQFfpHqxs7&#10;f0MEusle+SDdKQT1OpRue1Kh75hEewxRjgmhXIfitVMmVAOgyOBndT0LCkXrHJQb0AuoQJFBma4T&#10;VsnaocMgRTCjlXHEhqBuGf0CWQkPBuEJMCtltr9wYQhxX82b9HQ0sHf6kVEn/YXWqK1MHv7cLcee&#10;anBFHUWOBqd+IMIuhXFQaDTXYH/Q7RWYE+Elz8F5L2+g1B76BvAI5gaEtSy4HsBdy4V8zjOmB8tO&#10;PpDkqDEs3Yvq8bNEBzhabhP13wOWJq40eyfcSRRz0ggohUQ7C1z8+aBF3dpdOSnwiuH0ZxnyJ1Vz&#10;vIyfrdTpPH33PwAAAP//AwBQSwMEFAAGAAgAAAAhAB8FeizmAAAADwEAAA8AAABkcnMvZG93bnJl&#10;di54bWxMj1tLw0AQhd8F/8Mygm/tppLEmmZTxAtIKUoviI/bZHLB7GzMbtPor3f6pC/DGQ5z5nzp&#10;cjStGLB3jSUFs2kAAim3RUOVgv3ueTIH4bymQreWUME3OlhmlxepTgp7og0OW18JDiGXaAW1910i&#10;pctrNNpNbYfEXml7oz2vfSWLXp843LTyJghiaXRD/KHWHT7UmH9uj0YBhtXw/iV/yvhl9bqO9h9x&#10;+fS2Uur6anxc8LhfgPA4+r8LODNwf8i42MEeqXCiVcA0XsEkumVxtmd3QQTiwCoK5yHILJX/ObJf&#10;AAAA//8DAFBLAQItABQABgAIAAAAIQC2gziS/gAAAOEBAAATAAAAAAAAAAAAAAAAAAAAAABbQ29u&#10;dGVudF9UeXBlc10ueG1sUEsBAi0AFAAGAAgAAAAhADj9If/WAAAAlAEAAAsAAAAAAAAAAAAAAAAA&#10;LwEAAF9yZWxzLy5yZWxzUEsBAi0AFAAGAAgAAAAhAD4ZblksBAAAlw8AAA4AAAAAAAAAAAAAAAAA&#10;LgIAAGRycy9lMm9Eb2MueG1sUEsBAi0AFAAGAAgAAAAhAB8FeizmAAAADwEAAA8AAAAAAAAAAAAA&#10;AAAAhgYAAGRycy9kb3ducmV2LnhtbFBLBQYAAAAABAAEAPMAAACZBwAAAAA=&#10;" w14:anchorId="0EC16EA2">
              <v:fill type="gradient" color2="#17428c [3204]" colors="0 #67b9b0;.5 #219cdc;1 #17428c" angle="90" focus="100%" rotate="t"/>
              <v:stroke joinstyle="miter"/>
              <v:path arrowok="t" o:connecttype="custom" o:connectlocs="215837,1488141;215837,10152448;0,10194554;0,1603031;0,0;7559675,0;7559675,8719795;7343837,8761901;7343837,215906;2605910,215906;3008625,1541;0,1541" o:connectangles="0,0,0,0,0,0,0,0,0,0,0,0"/>
              <w10:wrap anchorx="page"/>
            </v:shape>
          </w:pict>
        </mc:Fallback>
      </mc:AlternateContent>
    </w:r>
    <w:r w:rsidR="00E15DCA" w:rsidRPr="00B272AB">
      <w:rPr>
        <w:b/>
        <w:bCs/>
        <w:noProof/>
        <w:color w:val="17428C" w:themeColor="accent1"/>
        <w:sz w:val="40"/>
        <w:szCs w:val="40"/>
        <w:lang w:val="en-GB"/>
      </w:rPr>
      <w:drawing>
        <wp:anchor distT="0" distB="0" distL="114300" distR="114300" simplePos="0" relativeHeight="251666432" behindDoc="0" locked="0" layoutInCell="1" allowOverlap="1" wp14:anchorId="362F3C16" wp14:editId="1E3C54C4">
          <wp:simplePos x="0" y="0"/>
          <wp:positionH relativeFrom="column">
            <wp:posOffset>4309110</wp:posOffset>
          </wp:positionH>
          <wp:positionV relativeFrom="paragraph">
            <wp:posOffset>144780</wp:posOffset>
          </wp:positionV>
          <wp:extent cx="1687830" cy="704215"/>
          <wp:effectExtent l="0" t="0" r="7620" b="635"/>
          <wp:wrapNone/>
          <wp:docPr id="755820163" name="Picture 755820163" descr="A logo with a city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820163" name="Picture 755820163" descr="A logo with a city silhouette&#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7830" cy="704215"/>
                  </a:xfrm>
                  <a:prstGeom prst="rect">
                    <a:avLst/>
                  </a:prstGeom>
                  <a:noFill/>
                  <a:ln>
                    <a:noFill/>
                  </a:ln>
                </pic:spPr>
              </pic:pic>
            </a:graphicData>
          </a:graphic>
        </wp:anchor>
      </w:drawing>
    </w:r>
    <w:r w:rsidR="000D264E" w:rsidRPr="000D264E">
      <w:rPr>
        <w:b/>
        <w:bCs/>
        <w:noProof/>
        <w:color w:val="17428C" w:themeColor="accent1"/>
        <w:sz w:val="40"/>
        <w:szCs w:val="40"/>
        <w:lang w:val="pl-PL"/>
      </w:rPr>
      <w:t>Warszawa</w:t>
    </w:r>
  </w:p>
  <w:p w14:paraId="2F30C3E5" w14:textId="51D59F4B" w:rsidR="00E15DCA" w:rsidRPr="000D264E" w:rsidRDefault="00E15DCA" w:rsidP="006B5242">
    <w:pPr>
      <w:pStyle w:val="Nagwek"/>
      <w:tabs>
        <w:tab w:val="clear" w:pos="4680"/>
        <w:tab w:val="clear" w:pos="9360"/>
        <w:tab w:val="left" w:pos="5745"/>
      </w:tabs>
      <w:ind w:left="-567"/>
      <w:rPr>
        <w:b/>
        <w:bCs/>
        <w:noProof/>
        <w:sz w:val="24"/>
        <w:szCs w:val="24"/>
        <w:lang w:val="pl-PL"/>
        <w14:textFill>
          <w14:gradFill>
            <w14:gsLst>
              <w14:gs w14:pos="0">
                <w14:schemeClr w14:val="accent4"/>
              </w14:gs>
              <w14:gs w14:pos="50000">
                <w14:schemeClr w14:val="accent5"/>
              </w14:gs>
              <w14:gs w14:pos="100000">
                <w14:schemeClr w14:val="accent1"/>
              </w14:gs>
            </w14:gsLst>
            <w14:lin w14:ang="0" w14:scaled="0"/>
          </w14:gradFill>
        </w14:textFill>
      </w:rPr>
    </w:pPr>
  </w:p>
  <w:p w14:paraId="01ECEA0A" w14:textId="114C2DC2" w:rsidR="00B272AB" w:rsidRPr="000D264E" w:rsidRDefault="000D264E" w:rsidP="00B272AB">
    <w:pPr>
      <w:pStyle w:val="Nagwek"/>
      <w:tabs>
        <w:tab w:val="clear" w:pos="4680"/>
        <w:tab w:val="clear" w:pos="9360"/>
        <w:tab w:val="left" w:pos="2025"/>
        <w:tab w:val="left" w:pos="4545"/>
      </w:tabs>
      <w:spacing w:after="120"/>
      <w:ind w:left="-567"/>
      <w:rPr>
        <w:b/>
        <w:bCs/>
        <w:noProof/>
        <w:sz w:val="28"/>
        <w:szCs w:val="28"/>
        <w:lang w:val="pl-PL"/>
        <w14:textFill>
          <w14:gradFill>
            <w14:gsLst>
              <w14:gs w14:pos="0">
                <w14:schemeClr w14:val="accent4"/>
              </w14:gs>
              <w14:gs w14:pos="50000">
                <w14:schemeClr w14:val="accent5"/>
              </w14:gs>
              <w14:gs w14:pos="100000">
                <w14:schemeClr w14:val="accent1"/>
              </w14:gs>
            </w14:gsLst>
            <w14:lin w14:ang="0" w14:scaled="0"/>
          </w14:gradFill>
        </w14:textFill>
      </w:rPr>
    </w:pPr>
    <w:r w:rsidRPr="000D264E">
      <w:rPr>
        <w:b/>
        <w:bCs/>
        <w:noProof/>
        <w:sz w:val="28"/>
        <w:szCs w:val="28"/>
        <w:lang w:val="pl-PL"/>
        <w14:textFill>
          <w14:gradFill>
            <w14:gsLst>
              <w14:gs w14:pos="0">
                <w14:schemeClr w14:val="accent4"/>
              </w14:gs>
              <w14:gs w14:pos="50000">
                <w14:schemeClr w14:val="accent5"/>
              </w14:gs>
              <w14:gs w14:pos="100000">
                <w14:schemeClr w14:val="accent1"/>
              </w14:gs>
            </w14:gsLst>
            <w14:lin w14:ang="0" w14:scaled="0"/>
          </w14:gradFill>
        </w14:textFill>
      </w:rPr>
      <w:t>Informacja prasowa</w:t>
    </w:r>
  </w:p>
  <w:p w14:paraId="7475479D" w14:textId="2D25F503" w:rsidR="006B5242" w:rsidRPr="000D264E" w:rsidRDefault="00AA59C3" w:rsidP="006B5242">
    <w:pPr>
      <w:pStyle w:val="Nagwek"/>
      <w:ind w:left="-567"/>
      <w:rPr>
        <w:lang w:val="pl-PL"/>
      </w:rPr>
    </w:pPr>
    <w:r>
      <w:rPr>
        <w:color w:val="17428C" w:themeColor="accent1"/>
        <w:sz w:val="24"/>
        <w:szCs w:val="24"/>
        <w:lang w:val="pl-PL"/>
      </w:rPr>
      <w:t>2</w:t>
    </w:r>
    <w:r w:rsidR="009F5B44">
      <w:rPr>
        <w:color w:val="17428C" w:themeColor="accent1"/>
        <w:sz w:val="24"/>
        <w:szCs w:val="24"/>
        <w:lang w:val="pl-PL"/>
      </w:rPr>
      <w:t>9</w:t>
    </w:r>
    <w:r>
      <w:rPr>
        <w:color w:val="17428C" w:themeColor="accent1"/>
        <w:sz w:val="24"/>
        <w:szCs w:val="24"/>
        <w:lang w:val="pl-PL"/>
      </w:rPr>
      <w:t xml:space="preserve"> czerwca</w:t>
    </w:r>
    <w:r w:rsidR="000D264E" w:rsidRPr="000D264E">
      <w:rPr>
        <w:color w:val="17428C" w:themeColor="accent1"/>
        <w:sz w:val="24"/>
        <w:szCs w:val="24"/>
        <w:lang w:val="pl-PL"/>
      </w:rPr>
      <w:t xml:space="preserve"> 2</w:t>
    </w:r>
    <w:r w:rsidR="000D264E">
      <w:rPr>
        <w:color w:val="17428C" w:themeColor="accent1"/>
        <w:sz w:val="24"/>
        <w:szCs w:val="24"/>
        <w:lang w:val="pl-PL"/>
      </w:rPr>
      <w:t>026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41491" w14:textId="601D399D" w:rsidR="00D135D6" w:rsidRPr="008063BD" w:rsidRDefault="003E687E" w:rsidP="00E319CA">
    <w:pPr>
      <w:pStyle w:val="Nagwek"/>
      <w:tabs>
        <w:tab w:val="clear" w:pos="4680"/>
        <w:tab w:val="clear" w:pos="9360"/>
        <w:tab w:val="left" w:pos="5745"/>
      </w:tabs>
      <w:ind w:left="-567"/>
      <w:rPr>
        <w:b/>
        <w:bCs/>
        <w:noProof/>
        <w:sz w:val="28"/>
        <w:szCs w:val="28"/>
        <w:lang w:val="fr-FR"/>
        <w14:textFill>
          <w14:gradFill>
            <w14:gsLst>
              <w14:gs w14:pos="0">
                <w14:schemeClr w14:val="accent4"/>
              </w14:gs>
              <w14:gs w14:pos="50000">
                <w14:schemeClr w14:val="accent5"/>
              </w14:gs>
              <w14:gs w14:pos="100000">
                <w14:schemeClr w14:val="accent1"/>
              </w14:gs>
            </w14:gsLst>
            <w14:lin w14:ang="0" w14:scaled="0"/>
          </w14:gradFill>
        </w14:textFill>
      </w:rPr>
    </w:pPr>
    <w:r>
      <w:rPr>
        <w:b/>
        <w:bCs/>
        <w:noProof/>
        <w:sz w:val="28"/>
        <w:szCs w:val="28"/>
      </w:rPr>
      <w:drawing>
        <wp:anchor distT="0" distB="0" distL="114300" distR="114300" simplePos="0" relativeHeight="251662336" behindDoc="0" locked="0" layoutInCell="1" allowOverlap="1" wp14:anchorId="31D5FF31" wp14:editId="7F2DAB10">
          <wp:simplePos x="0" y="0"/>
          <wp:positionH relativeFrom="column">
            <wp:posOffset>4302286</wp:posOffset>
          </wp:positionH>
          <wp:positionV relativeFrom="paragraph">
            <wp:posOffset>144780</wp:posOffset>
          </wp:positionV>
          <wp:extent cx="1687830" cy="704215"/>
          <wp:effectExtent l="0" t="0" r="7620" b="635"/>
          <wp:wrapNone/>
          <wp:docPr id="755820081" name="Picture 755820081" descr="A logo with a city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820081" name="Picture 755820081" descr="A logo with a city silhouette&#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7830" cy="704215"/>
                  </a:xfrm>
                  <a:prstGeom prst="rect">
                    <a:avLst/>
                  </a:prstGeom>
                  <a:noFill/>
                  <a:ln>
                    <a:noFill/>
                  </a:ln>
                </pic:spPr>
              </pic:pic>
            </a:graphicData>
          </a:graphic>
        </wp:anchor>
      </w:drawing>
    </w:r>
    <w:r w:rsidR="006F2B82" w:rsidRPr="006F2B82">
      <w:rPr>
        <w:b/>
        <w:bCs/>
        <w:noProof/>
        <w:sz w:val="28"/>
        <w:szCs w:val="28"/>
        <w14:textFill>
          <w14:gradFill>
            <w14:gsLst>
              <w14:gs w14:pos="0">
                <w14:schemeClr w14:val="accent4"/>
              </w14:gs>
              <w14:gs w14:pos="50000">
                <w14:schemeClr w14:val="accent5"/>
              </w14:gs>
              <w14:gs w14:pos="100000">
                <w14:schemeClr w14:val="accent1"/>
              </w14:gs>
            </w14:gsLst>
            <w14:lin w14:ang="0" w14:scaled="0"/>
          </w14:gradFill>
        </w14:textFill>
      </w:rPr>
      <mc:AlternateContent>
        <mc:Choice Requires="wps">
          <w:drawing>
            <wp:anchor distT="0" distB="0" distL="114300" distR="114300" simplePos="0" relativeHeight="251668480" behindDoc="0" locked="0" layoutInCell="1" allowOverlap="1" wp14:anchorId="69556025" wp14:editId="5C3816B2">
              <wp:simplePos x="0" y="0"/>
              <wp:positionH relativeFrom="page">
                <wp:align>left</wp:align>
              </wp:positionH>
              <wp:positionV relativeFrom="paragraph">
                <wp:posOffset>-361950</wp:posOffset>
              </wp:positionV>
              <wp:extent cx="7559675" cy="10194554"/>
              <wp:effectExtent l="0" t="0" r="3175" b="0"/>
              <wp:wrapNone/>
              <wp:docPr id="2" name="Freeform: Shape 1">
                <a:extLst xmlns:a="http://schemas.openxmlformats.org/drawingml/2006/main">
                  <a:ext uri="{FF2B5EF4-FFF2-40B4-BE49-F238E27FC236}">
                    <a16:creationId xmlns:a16="http://schemas.microsoft.com/office/drawing/2014/main" id="{2DE0B375-9CF8-FEE5-7466-F54F61ED7CA8}"/>
                  </a:ext>
                </a:extLst>
              </wp:docPr>
              <wp:cNvGraphicFramePr/>
              <a:graphic xmlns:a="http://schemas.openxmlformats.org/drawingml/2006/main">
                <a:graphicData uri="http://schemas.microsoft.com/office/word/2010/wordprocessingShape">
                  <wps:wsp>
                    <wps:cNvSpPr/>
                    <wps:spPr>
                      <a:xfrm>
                        <a:off x="0" y="0"/>
                        <a:ext cx="7559675" cy="10194554"/>
                      </a:xfrm>
                      <a:custGeom>
                        <a:avLst/>
                        <a:gdLst>
                          <a:gd name="connsiteX0" fmla="*/ 215837 w 7559675"/>
                          <a:gd name="connsiteY0" fmla="*/ 1488141 h 10194554"/>
                          <a:gd name="connsiteX1" fmla="*/ 215837 w 7559675"/>
                          <a:gd name="connsiteY1" fmla="*/ 10152448 h 10194554"/>
                          <a:gd name="connsiteX2" fmla="*/ 0 w 7559675"/>
                          <a:gd name="connsiteY2" fmla="*/ 10194554 h 10194554"/>
                          <a:gd name="connsiteX3" fmla="*/ 0 w 7559675"/>
                          <a:gd name="connsiteY3" fmla="*/ 1603031 h 10194554"/>
                          <a:gd name="connsiteX4" fmla="*/ 0 w 7559675"/>
                          <a:gd name="connsiteY4" fmla="*/ 0 h 10194554"/>
                          <a:gd name="connsiteX5" fmla="*/ 7559675 w 7559675"/>
                          <a:gd name="connsiteY5" fmla="*/ 0 h 10194554"/>
                          <a:gd name="connsiteX6" fmla="*/ 7559675 w 7559675"/>
                          <a:gd name="connsiteY6" fmla="*/ 8719795 h 10194554"/>
                          <a:gd name="connsiteX7" fmla="*/ 7343837 w 7559675"/>
                          <a:gd name="connsiteY7" fmla="*/ 8761901 h 10194554"/>
                          <a:gd name="connsiteX8" fmla="*/ 7343837 w 7559675"/>
                          <a:gd name="connsiteY8" fmla="*/ 215906 h 10194554"/>
                          <a:gd name="connsiteX9" fmla="*/ 2605910 w 7559675"/>
                          <a:gd name="connsiteY9" fmla="*/ 215906 h 10194554"/>
                          <a:gd name="connsiteX10" fmla="*/ 3008625 w 7559675"/>
                          <a:gd name="connsiteY10" fmla="*/ 1541 h 10194554"/>
                          <a:gd name="connsiteX11" fmla="*/ 0 w 7559675"/>
                          <a:gd name="connsiteY11" fmla="*/ 1541 h 101945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7559675" h="10194554">
                            <a:moveTo>
                              <a:pt x="215837" y="1488141"/>
                            </a:moveTo>
                            <a:lnTo>
                              <a:pt x="215837" y="10152448"/>
                            </a:lnTo>
                            <a:lnTo>
                              <a:pt x="0" y="10194554"/>
                            </a:lnTo>
                            <a:lnTo>
                              <a:pt x="0" y="1603031"/>
                            </a:lnTo>
                            <a:close/>
                            <a:moveTo>
                              <a:pt x="0" y="0"/>
                            </a:moveTo>
                            <a:lnTo>
                              <a:pt x="7559675" y="0"/>
                            </a:lnTo>
                            <a:lnTo>
                              <a:pt x="7559675" y="8719795"/>
                            </a:lnTo>
                            <a:lnTo>
                              <a:pt x="7343837" y="8761901"/>
                            </a:lnTo>
                            <a:lnTo>
                              <a:pt x="7343837" y="215906"/>
                            </a:lnTo>
                            <a:lnTo>
                              <a:pt x="2605910" y="215906"/>
                            </a:lnTo>
                            <a:lnTo>
                              <a:pt x="3008625" y="1541"/>
                            </a:lnTo>
                            <a:lnTo>
                              <a:pt x="0" y="1541"/>
                            </a:lnTo>
                            <a:close/>
                          </a:path>
                        </a:pathLst>
                      </a:custGeom>
                      <a:gradFill flip="none" rotWithShape="1">
                        <a:gsLst>
                          <a:gs pos="0">
                            <a:schemeClr val="accent4"/>
                          </a:gs>
                          <a:gs pos="50000">
                            <a:schemeClr val="accent5"/>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anchor>
          </w:drawing>
        </mc:Choice>
        <mc:Fallback xmlns:a16="http://schemas.microsoft.com/office/drawing/2014/main" xmlns:a14="http://schemas.microsoft.com/office/drawing/2010/main" xmlns:pic="http://schemas.openxmlformats.org/drawingml/2006/picture" xmlns:a="http://schemas.openxmlformats.org/drawingml/2006/main">
          <w:pict>
            <v:shape id="Freeform: Shape 1" style="position:absolute;margin-left:0;margin-top:-28.5pt;width:595.25pt;height:802.7pt;z-index:251668480;visibility:visible;mso-wrap-style:square;mso-wrap-distance-left:9pt;mso-wrap-distance-top:0;mso-wrap-distance-right:9pt;mso-wrap-distance-bottom:0;mso-position-horizontal:left;mso-position-horizontal-relative:page;mso-position-vertical:absolute;mso-position-vertical-relative:text;v-text-anchor:middle" coordsize="7559675,10194554" o:spid="_x0000_s1026" fillcolor="#67b9b0 [3207]" stroked="f" strokeweight="1pt" path="m215837,1488141r,8664307l,10194554,,1603031,215837,1488141xm,l7559675,r,8719795l7343837,8761901r,-8545995l2605910,215906,3008625,1541,,154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5ZLAQAAJcPAAAOAAAAZHJzL2Uyb0RvYy54bWysV0uP2zYQvhfofyB0DNCVZFu2Zaw3KBIk&#10;l6AN8kDaI5eiLAEUqZJc2/vvO3zJtHezlhbxQdZjvhnOx3nx9u2xY2hPpWoF3yb5TZYgyomoWr7b&#10;Jt+/ffhjnSClMa8wE5xuk0eqkrd3v/92e+g3dCYawSoqESjhanPot0mjdb9JU0Ua2mF1I3rK4WMt&#10;ZIc1PMpdWkl8AO0dS2dZtkwPQla9FIQqBW/fu4/JndVf15Tov+taUY3YNoG1aXuV9npvrundLd7s&#10;JO6blvhl4FesosMtB6ODqvdYY/Qg2yequpZIoUStb4joUlHXLaHWB/Amzy68+drgnlpfgBzVDzSp&#10;X6eW/LX/2n+WQMOhVxsFt8aLYy078w/rQ0dL1uNAFj1qRODlqijK5apIEIFveZaXi6JYGD7TE548&#10;KP2RCqsL7z8p7eiu4M6SVSGOO4gKIjhXrab/wBbVHYMdeJOiWV6s5yt0QMGSB19g/o0x+WK9zhc5&#10;alC8ItiWJ5byV1iKMaC/mC0W6xGmZpGp7Lo/sXjwYoSV+TQrsXi+zObZfAxri2lGzsWvbwpE07D9&#10;ftev8xWDshFELV9jJAatV3m5KosRplaxqfliPiqeY9B6tczLbMzOQJ09UTfWVAyCdCuz5QinysjS&#10;bJkVZT4iqM9AYy3lcWrPs2y9nBXX4+EMlRfjqkGc2iPcyWP5Z2xADdyFKoebUPjIkfvKB3cImxaZ&#10;2a7RC2XqbFwGoaiGR6hwrqwCypTNK2BYWgzOJ4Gh+MTg2SQw1JQYPJ8EhloRg0MrGecz1IAYXEyy&#10;DLkdg5eTwJCtMXg1CQz5F4PXk8CQUjG4nAQ2SRKj4XlSjF0G2VmUQfTDtvlQlzCDmemL2elLJwim&#10;L5kgmL7ujUm86bE2GRJu0SGaLZpotDACndjTb8KKapMxbkawrvjW7904CTL+M4Dv4B4R5MJ/bw04&#10;mkIbHiPqeumFJGFCUevtaWGxgcD+6ev5MsIIZPYsyAaJ8O/0xZK+UV2s5ULe9QpLoe82o+Vdy3hR&#10;3DcIq36EuC/ybkOhdL+o2+/NU7HANsShCS47kg5RZoIzGkth9q8+tIyhmrVw/uBwSoEQFfpHqxs7&#10;f0MEusle+SDdKQT1OpRue1Kh75hEewxRjgmhXIfitVMmVAOgyOBndT0LCkXrHJQb0AuoQJFBma4T&#10;VsnaocMgRTCjlXHEhqBuGf0CWQkPBuEJMCtltr9wYQhxX82b9HQ0sHf6kVEn/YXWqK1MHv7cLcee&#10;anBFHUWOBqd+IMIuhXFQaDTXYH/Q7RWYE+Elz8F5L2+g1B76BvAI5gaEtSy4HsBdy4V8zjOmB8tO&#10;PpDkqDEs3Yvq8bNEBzhabhP13wOWJq40eyfcSRRz0ggohUQ7C1z8+aBF3dpdOSnwiuH0ZxnyJ1Vz&#10;vIyfrdTpPH33PwAAAP//AwBQSwMEFAAGAAgAAAAhAB8FeizmAAAADwEAAA8AAABkcnMvZG93bnJl&#10;di54bWxMj1tLw0AQhd8F/8Mygm/tppLEmmZTxAtIKUoviI/bZHLB7GzMbtPor3f6pC/DGQ5z5nzp&#10;cjStGLB3jSUFs2kAAim3RUOVgv3ueTIH4bymQreWUME3OlhmlxepTgp7og0OW18JDiGXaAW1910i&#10;pctrNNpNbYfEXml7oz2vfSWLXp843LTyJghiaXRD/KHWHT7UmH9uj0YBhtXw/iV/yvhl9bqO9h9x&#10;+fS2Uur6anxc8LhfgPA4+r8LODNwf8i42MEeqXCiVcA0XsEkumVxtmd3QQTiwCoK5yHILJX/ObJf&#10;AAAA//8DAFBLAQItABQABgAIAAAAIQC2gziS/gAAAOEBAAATAAAAAAAAAAAAAAAAAAAAAABbQ29u&#10;dGVudF9UeXBlc10ueG1sUEsBAi0AFAAGAAgAAAAhADj9If/WAAAAlAEAAAsAAAAAAAAAAAAAAAAA&#10;LwEAAF9yZWxzLy5yZWxzUEsBAi0AFAAGAAgAAAAhAD4ZblksBAAAlw8AAA4AAAAAAAAAAAAAAAAA&#10;LgIAAGRycy9lMm9Eb2MueG1sUEsBAi0AFAAGAAgAAAAhAB8FeizmAAAADwEAAA8AAAAAAAAAAAAA&#10;AAAAhgYAAGRycy9kb3ducmV2LnhtbFBLBQYAAAAABAAEAPMAAACZBwAAAAA=&#10;" w14:anchorId="174762A5">
              <v:fill type="gradient" color2="#17428c [3204]" colors="0 #67b9b0;.5 #219cdc;1 #17428c" angle="90" focus="100%" rotate="t"/>
              <v:stroke joinstyle="miter"/>
              <v:path arrowok="t" o:connecttype="custom" o:connectlocs="215837,1488141;215837,10152448;0,10194554;0,1603031;0,0;7559675,0;7559675,8719795;7343837,8761901;7343837,215906;2605910,215906;3008625,1541;0,1541" o:connectangles="0,0,0,0,0,0,0,0,0,0,0,0"/>
              <w10:wrap anchorx="page"/>
            </v:shape>
          </w:pict>
        </mc:Fallback>
      </mc:AlternateContent>
    </w:r>
    <w:r w:rsidR="00D135D6" w:rsidRPr="008063BD">
      <w:rPr>
        <w:b/>
        <w:bCs/>
        <w:noProof/>
        <w:sz w:val="28"/>
        <w:szCs w:val="28"/>
        <w:lang w:val="fr-FR"/>
        <w14:textFill>
          <w14:gradFill>
            <w14:gsLst>
              <w14:gs w14:pos="0">
                <w14:schemeClr w14:val="accent4"/>
              </w14:gs>
              <w14:gs w14:pos="50000">
                <w14:schemeClr w14:val="accent5"/>
              </w14:gs>
              <w14:gs w14:pos="100000">
                <w14:schemeClr w14:val="accent1"/>
              </w14:gs>
            </w14:gsLst>
            <w14:lin w14:ang="0" w14:scaled="0"/>
          </w14:gradFill>
        </w14:textFill>
      </w:rPr>
      <w:t>COMMUNIQUÉ</w:t>
    </w:r>
    <w:r w:rsidR="00E319CA" w:rsidRPr="008063BD">
      <w:rPr>
        <w:b/>
        <w:bCs/>
        <w:noProof/>
        <w:sz w:val="28"/>
        <w:szCs w:val="28"/>
        <w:lang w:val="fr-FR"/>
        <w14:textFill>
          <w14:gradFill>
            <w14:gsLst>
              <w14:gs w14:pos="0">
                <w14:schemeClr w14:val="accent4"/>
              </w14:gs>
              <w14:gs w14:pos="50000">
                <w14:schemeClr w14:val="accent5"/>
              </w14:gs>
              <w14:gs w14:pos="100000">
                <w14:schemeClr w14:val="accent1"/>
              </w14:gs>
            </w14:gsLst>
            <w14:lin w14:ang="0" w14:scaled="0"/>
          </w14:gradFill>
        </w14:textFill>
      </w:rPr>
      <w:tab/>
    </w:r>
  </w:p>
  <w:p w14:paraId="45258CF2" w14:textId="4151E4D1" w:rsidR="00D135D6" w:rsidRPr="008063BD" w:rsidRDefault="00D135D6" w:rsidP="00D135D6">
    <w:pPr>
      <w:pStyle w:val="Nagwek"/>
      <w:tabs>
        <w:tab w:val="clear" w:pos="4680"/>
        <w:tab w:val="clear" w:pos="9360"/>
        <w:tab w:val="left" w:pos="2025"/>
        <w:tab w:val="left" w:pos="4545"/>
      </w:tabs>
      <w:spacing w:after="120"/>
      <w:ind w:left="-567"/>
      <w:rPr>
        <w:b/>
        <w:bCs/>
        <w:noProof/>
        <w:sz w:val="28"/>
        <w:szCs w:val="28"/>
        <w:lang w:val="fr-FR"/>
        <w14:textFill>
          <w14:gradFill>
            <w14:gsLst>
              <w14:gs w14:pos="0">
                <w14:schemeClr w14:val="accent4"/>
              </w14:gs>
              <w14:gs w14:pos="50000">
                <w14:schemeClr w14:val="accent5"/>
              </w14:gs>
              <w14:gs w14:pos="100000">
                <w14:schemeClr w14:val="accent1"/>
              </w14:gs>
            </w14:gsLst>
            <w14:lin w14:ang="0" w14:scaled="0"/>
          </w14:gradFill>
        </w14:textFill>
      </w:rPr>
    </w:pPr>
    <w:r w:rsidRPr="008063BD">
      <w:rPr>
        <w:b/>
        <w:bCs/>
        <w:noProof/>
        <w:sz w:val="28"/>
        <w:szCs w:val="28"/>
        <w:lang w:val="fr-FR"/>
        <w14:textFill>
          <w14:gradFill>
            <w14:gsLst>
              <w14:gs w14:pos="0">
                <w14:schemeClr w14:val="accent4"/>
              </w14:gs>
              <w14:gs w14:pos="50000">
                <w14:schemeClr w14:val="accent5"/>
              </w14:gs>
              <w14:gs w14:pos="100000">
                <w14:schemeClr w14:val="accent1"/>
              </w14:gs>
            </w14:gsLst>
            <w14:lin w14:ang="0" w14:scaled="0"/>
          </w14:gradFill>
        </w14:textFill>
      </w:rPr>
      <w:t>DE PRESSE</w:t>
    </w:r>
  </w:p>
  <w:p w14:paraId="0BCBB615" w14:textId="33567E77" w:rsidR="005D111C" w:rsidRPr="008063BD" w:rsidRDefault="00D135D6" w:rsidP="00D135D6">
    <w:pPr>
      <w:pStyle w:val="Nagwek"/>
      <w:tabs>
        <w:tab w:val="clear" w:pos="4680"/>
        <w:tab w:val="clear" w:pos="9360"/>
        <w:tab w:val="left" w:pos="2025"/>
        <w:tab w:val="left" w:pos="4545"/>
      </w:tabs>
      <w:ind w:left="-567"/>
      <w:rPr>
        <w:lang w:val="fr-FR"/>
      </w:rPr>
    </w:pPr>
    <w:r w:rsidRPr="008063BD">
      <w:rPr>
        <w:color w:val="17428C" w:themeColor="accent1"/>
        <w:sz w:val="24"/>
        <w:szCs w:val="24"/>
        <w:lang w:val="fr-FR"/>
      </w:rPr>
      <w:t>XX Janvier XXXX à XXhXX</w:t>
    </w:r>
    <w:r w:rsidR="007B3273" w:rsidRPr="008063BD">
      <w:rPr>
        <w:lang w:val="fr-FR"/>
      </w:rPr>
      <w:tab/>
    </w:r>
    <w:r w:rsidR="007B3273" w:rsidRPr="008063BD">
      <w:rPr>
        <w:lang w:val="fr-FR"/>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1985"/>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2DF8"/>
    <w:rsid w:val="00002490"/>
    <w:rsid w:val="000464FA"/>
    <w:rsid w:val="00067728"/>
    <w:rsid w:val="000904C6"/>
    <w:rsid w:val="000B6694"/>
    <w:rsid w:val="000C5942"/>
    <w:rsid w:val="000D2286"/>
    <w:rsid w:val="000D2398"/>
    <w:rsid w:val="000D264E"/>
    <w:rsid w:val="000D275F"/>
    <w:rsid w:val="000D445D"/>
    <w:rsid w:val="000D584B"/>
    <w:rsid w:val="000D6E5C"/>
    <w:rsid w:val="000E4C8E"/>
    <w:rsid w:val="00104F98"/>
    <w:rsid w:val="00111786"/>
    <w:rsid w:val="00134056"/>
    <w:rsid w:val="00141A2C"/>
    <w:rsid w:val="00152859"/>
    <w:rsid w:val="00171DDD"/>
    <w:rsid w:val="0019189C"/>
    <w:rsid w:val="001950E8"/>
    <w:rsid w:val="001B4BB0"/>
    <w:rsid w:val="001C2861"/>
    <w:rsid w:val="001D3669"/>
    <w:rsid w:val="001E20AB"/>
    <w:rsid w:val="001F012E"/>
    <w:rsid w:val="001F155B"/>
    <w:rsid w:val="002001CB"/>
    <w:rsid w:val="00265EBC"/>
    <w:rsid w:val="00274ACD"/>
    <w:rsid w:val="00285CDE"/>
    <w:rsid w:val="002B36C2"/>
    <w:rsid w:val="002C0B79"/>
    <w:rsid w:val="002D7BC2"/>
    <w:rsid w:val="002E3324"/>
    <w:rsid w:val="00304B3F"/>
    <w:rsid w:val="0031507D"/>
    <w:rsid w:val="003224CF"/>
    <w:rsid w:val="00337337"/>
    <w:rsid w:val="003537A2"/>
    <w:rsid w:val="003A3158"/>
    <w:rsid w:val="003B405B"/>
    <w:rsid w:val="003C70CE"/>
    <w:rsid w:val="003E687E"/>
    <w:rsid w:val="004310BC"/>
    <w:rsid w:val="00460ACD"/>
    <w:rsid w:val="00460CCC"/>
    <w:rsid w:val="00462B52"/>
    <w:rsid w:val="0047007D"/>
    <w:rsid w:val="0050039D"/>
    <w:rsid w:val="005060CE"/>
    <w:rsid w:val="0054106F"/>
    <w:rsid w:val="0054661F"/>
    <w:rsid w:val="00570217"/>
    <w:rsid w:val="00587873"/>
    <w:rsid w:val="005B3361"/>
    <w:rsid w:val="005D111C"/>
    <w:rsid w:val="005D2C25"/>
    <w:rsid w:val="005E10C9"/>
    <w:rsid w:val="005E194F"/>
    <w:rsid w:val="005F2BFA"/>
    <w:rsid w:val="0062613B"/>
    <w:rsid w:val="0063152D"/>
    <w:rsid w:val="006B5242"/>
    <w:rsid w:val="006B7A90"/>
    <w:rsid w:val="006E7908"/>
    <w:rsid w:val="006F2B82"/>
    <w:rsid w:val="007130CA"/>
    <w:rsid w:val="0073486D"/>
    <w:rsid w:val="00741AF9"/>
    <w:rsid w:val="00786E52"/>
    <w:rsid w:val="0079086A"/>
    <w:rsid w:val="007B3273"/>
    <w:rsid w:val="007D6266"/>
    <w:rsid w:val="008063BD"/>
    <w:rsid w:val="00816182"/>
    <w:rsid w:val="00850238"/>
    <w:rsid w:val="008630D8"/>
    <w:rsid w:val="008C000A"/>
    <w:rsid w:val="008D4C1B"/>
    <w:rsid w:val="0090630E"/>
    <w:rsid w:val="0090778B"/>
    <w:rsid w:val="00926751"/>
    <w:rsid w:val="00926EA2"/>
    <w:rsid w:val="009602C3"/>
    <w:rsid w:val="009667DE"/>
    <w:rsid w:val="00985EB2"/>
    <w:rsid w:val="009F5427"/>
    <w:rsid w:val="009F5B44"/>
    <w:rsid w:val="00A0551A"/>
    <w:rsid w:val="00A15FB7"/>
    <w:rsid w:val="00A17A4D"/>
    <w:rsid w:val="00A261A9"/>
    <w:rsid w:val="00A73B43"/>
    <w:rsid w:val="00AA59C3"/>
    <w:rsid w:val="00AB0483"/>
    <w:rsid w:val="00AB4AC7"/>
    <w:rsid w:val="00AC408F"/>
    <w:rsid w:val="00AD0AB9"/>
    <w:rsid w:val="00AD7EB6"/>
    <w:rsid w:val="00AE5577"/>
    <w:rsid w:val="00B045FD"/>
    <w:rsid w:val="00B272AB"/>
    <w:rsid w:val="00B31E6E"/>
    <w:rsid w:val="00BA19E2"/>
    <w:rsid w:val="00BB2362"/>
    <w:rsid w:val="00BB40E8"/>
    <w:rsid w:val="00BC5A8E"/>
    <w:rsid w:val="00BD4AA8"/>
    <w:rsid w:val="00BF7956"/>
    <w:rsid w:val="00C423E1"/>
    <w:rsid w:val="00C42A76"/>
    <w:rsid w:val="00C463AF"/>
    <w:rsid w:val="00C52D8E"/>
    <w:rsid w:val="00C5604B"/>
    <w:rsid w:val="00C75B08"/>
    <w:rsid w:val="00C86C52"/>
    <w:rsid w:val="00CA6E59"/>
    <w:rsid w:val="00CE24F5"/>
    <w:rsid w:val="00CE5B53"/>
    <w:rsid w:val="00CE7358"/>
    <w:rsid w:val="00D07B37"/>
    <w:rsid w:val="00D12B0B"/>
    <w:rsid w:val="00D135D6"/>
    <w:rsid w:val="00D222D6"/>
    <w:rsid w:val="00D350A4"/>
    <w:rsid w:val="00D40E26"/>
    <w:rsid w:val="00D4410F"/>
    <w:rsid w:val="00D7798A"/>
    <w:rsid w:val="00DE576A"/>
    <w:rsid w:val="00E15DCA"/>
    <w:rsid w:val="00E319CA"/>
    <w:rsid w:val="00E61CBA"/>
    <w:rsid w:val="00E75FB4"/>
    <w:rsid w:val="00E848DB"/>
    <w:rsid w:val="00E8652F"/>
    <w:rsid w:val="00EB17E4"/>
    <w:rsid w:val="00EC1D65"/>
    <w:rsid w:val="00EE46CD"/>
    <w:rsid w:val="00EF5B0F"/>
    <w:rsid w:val="00F143E8"/>
    <w:rsid w:val="00F25606"/>
    <w:rsid w:val="00F2616C"/>
    <w:rsid w:val="00F32176"/>
    <w:rsid w:val="00F42DF8"/>
    <w:rsid w:val="00F674BB"/>
    <w:rsid w:val="00F823C5"/>
    <w:rsid w:val="00FD1458"/>
    <w:rsid w:val="00FD3F9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0BD4E0"/>
  <w15:chartTrackingRefBased/>
  <w15:docId w15:val="{603F5327-37CB-454B-9383-2E11043A2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style>
  <w:style w:type="paragraph" w:styleId="Nagwek1">
    <w:name w:val="heading 1"/>
    <w:basedOn w:val="Normalny"/>
    <w:next w:val="Normalny"/>
    <w:link w:val="Nagwek1Znak"/>
    <w:uiPriority w:val="9"/>
    <w:qFormat/>
    <w:rsid w:val="00C423E1"/>
    <w:pPr>
      <w:keepNext/>
      <w:keepLines/>
      <w:spacing w:before="240" w:after="0"/>
      <w:outlineLvl w:val="0"/>
    </w:pPr>
    <w:rPr>
      <w:rFonts w:asciiTheme="majorHAnsi" w:eastAsiaTheme="majorEastAsia" w:hAnsiTheme="majorHAnsi" w:cstheme="majorBidi"/>
      <w:b/>
      <w:color w:val="17428C" w:themeColor="accent1"/>
      <w:sz w:val="32"/>
      <w:szCs w:val="32"/>
    </w:rPr>
  </w:style>
  <w:style w:type="paragraph" w:styleId="Nagwek2">
    <w:name w:val="heading 2"/>
    <w:aliases w:val="Body text"/>
    <w:basedOn w:val="Normalny"/>
    <w:next w:val="Normalny"/>
    <w:link w:val="Nagwek2Znak"/>
    <w:uiPriority w:val="9"/>
    <w:unhideWhenUsed/>
    <w:qFormat/>
    <w:rsid w:val="008063BD"/>
    <w:pPr>
      <w:keepNext/>
      <w:keepLines/>
      <w:spacing w:after="0" w:line="280" w:lineRule="exact"/>
      <w:jc w:val="both"/>
      <w:outlineLvl w:val="1"/>
    </w:pPr>
    <w:rPr>
      <w:rFonts w:asciiTheme="majorHAnsi" w:eastAsiaTheme="majorEastAsia" w:hAnsiTheme="majorHAnsi" w:cstheme="majorBidi"/>
      <w:color w:val="17428C" w:themeColor="accent1"/>
      <w:szCs w:val="26"/>
      <w:lang w:val="fr-FR"/>
    </w:rPr>
  </w:style>
  <w:style w:type="paragraph" w:styleId="Nagwek3">
    <w:name w:val="heading 3"/>
    <w:basedOn w:val="Normalny"/>
    <w:next w:val="Normalny"/>
    <w:link w:val="Nagwek3Znak"/>
    <w:uiPriority w:val="9"/>
    <w:unhideWhenUsed/>
    <w:rsid w:val="000D2398"/>
    <w:pPr>
      <w:keepNext/>
      <w:keepLines/>
      <w:spacing w:before="40" w:after="0"/>
      <w:outlineLvl w:val="2"/>
    </w:pPr>
    <w:rPr>
      <w:rFonts w:asciiTheme="majorHAnsi" w:eastAsiaTheme="majorEastAsia" w:hAnsiTheme="majorHAnsi" w:cstheme="majorBidi"/>
      <w:color w:val="0B2045"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C423E1"/>
    <w:rPr>
      <w:rFonts w:asciiTheme="majorHAnsi" w:eastAsiaTheme="majorEastAsia" w:hAnsiTheme="majorHAnsi" w:cstheme="majorBidi"/>
      <w:b/>
      <w:color w:val="17428C" w:themeColor="accent1"/>
      <w:sz w:val="32"/>
      <w:szCs w:val="32"/>
    </w:rPr>
  </w:style>
  <w:style w:type="character" w:customStyle="1" w:styleId="Nagwek2Znak">
    <w:name w:val="Nagłówek 2 Znak"/>
    <w:aliases w:val="Body text Znak"/>
    <w:basedOn w:val="Domylnaczcionkaakapitu"/>
    <w:link w:val="Nagwek2"/>
    <w:uiPriority w:val="9"/>
    <w:rsid w:val="008063BD"/>
    <w:rPr>
      <w:rFonts w:asciiTheme="majorHAnsi" w:eastAsiaTheme="majorEastAsia" w:hAnsiTheme="majorHAnsi" w:cstheme="majorBidi"/>
      <w:color w:val="17428C" w:themeColor="accent1"/>
      <w:szCs w:val="26"/>
      <w:lang w:val="fr-FR"/>
    </w:rPr>
  </w:style>
  <w:style w:type="paragraph" w:styleId="Nagwek">
    <w:name w:val="header"/>
    <w:basedOn w:val="Normalny"/>
    <w:link w:val="NagwekZnak"/>
    <w:uiPriority w:val="99"/>
    <w:unhideWhenUsed/>
    <w:rsid w:val="000D2398"/>
    <w:pPr>
      <w:tabs>
        <w:tab w:val="center" w:pos="4680"/>
        <w:tab w:val="right" w:pos="9360"/>
      </w:tabs>
      <w:spacing w:after="0" w:line="240" w:lineRule="auto"/>
    </w:pPr>
  </w:style>
  <w:style w:type="character" w:customStyle="1" w:styleId="NagwekZnak">
    <w:name w:val="Nagłówek Znak"/>
    <w:basedOn w:val="Domylnaczcionkaakapitu"/>
    <w:link w:val="Nagwek"/>
    <w:uiPriority w:val="99"/>
    <w:rsid w:val="000D2398"/>
  </w:style>
  <w:style w:type="paragraph" w:styleId="Stopka">
    <w:name w:val="footer"/>
    <w:basedOn w:val="Normalny"/>
    <w:link w:val="StopkaZnak"/>
    <w:uiPriority w:val="99"/>
    <w:unhideWhenUsed/>
    <w:rsid w:val="000D2398"/>
    <w:pPr>
      <w:tabs>
        <w:tab w:val="center" w:pos="4680"/>
        <w:tab w:val="right" w:pos="9360"/>
      </w:tabs>
      <w:spacing w:after="0" w:line="240" w:lineRule="auto"/>
    </w:pPr>
  </w:style>
  <w:style w:type="character" w:customStyle="1" w:styleId="StopkaZnak">
    <w:name w:val="Stopka Znak"/>
    <w:basedOn w:val="Domylnaczcionkaakapitu"/>
    <w:link w:val="Stopka"/>
    <w:uiPriority w:val="99"/>
    <w:rsid w:val="000D2398"/>
  </w:style>
  <w:style w:type="character" w:customStyle="1" w:styleId="Nagwek3Znak">
    <w:name w:val="Nagłówek 3 Znak"/>
    <w:basedOn w:val="Domylnaczcionkaakapitu"/>
    <w:link w:val="Nagwek3"/>
    <w:uiPriority w:val="9"/>
    <w:rsid w:val="000D2398"/>
    <w:rPr>
      <w:rFonts w:asciiTheme="majorHAnsi" w:eastAsiaTheme="majorEastAsia" w:hAnsiTheme="majorHAnsi" w:cstheme="majorBidi"/>
      <w:color w:val="0B2045" w:themeColor="accent1" w:themeShade="7F"/>
      <w:sz w:val="24"/>
      <w:szCs w:val="24"/>
    </w:rPr>
  </w:style>
  <w:style w:type="paragraph" w:customStyle="1" w:styleId="BasicParagraph">
    <w:name w:val="[Basic Paragraph]"/>
    <w:basedOn w:val="Normalny"/>
    <w:uiPriority w:val="99"/>
    <w:rsid w:val="00BB40E8"/>
    <w:pPr>
      <w:autoSpaceDE w:val="0"/>
      <w:autoSpaceDN w:val="0"/>
      <w:adjustRightInd w:val="0"/>
      <w:spacing w:after="0" w:line="288" w:lineRule="auto"/>
      <w:textAlignment w:val="center"/>
    </w:pPr>
    <w:rPr>
      <w:rFonts w:ascii="Minion Pro" w:hAnsi="Minion Pro" w:cs="Minion Pro"/>
      <w:color w:val="000000"/>
      <w:sz w:val="24"/>
      <w:szCs w:val="24"/>
      <w:lang w:val="fr-FR"/>
    </w:rPr>
  </w:style>
  <w:style w:type="character" w:styleId="Numerwiersza">
    <w:name w:val="line number"/>
    <w:basedOn w:val="Domylnaczcionkaakapitu"/>
    <w:uiPriority w:val="99"/>
    <w:semiHidden/>
    <w:unhideWhenUsed/>
    <w:rsid w:val="00E319CA"/>
  </w:style>
  <w:style w:type="character" w:styleId="Hipercze">
    <w:name w:val="Hyperlink"/>
    <w:basedOn w:val="Domylnaczcionkaakapitu"/>
    <w:uiPriority w:val="99"/>
    <w:unhideWhenUsed/>
    <w:rsid w:val="0047007D"/>
    <w:rPr>
      <w:color w:val="CE142E" w:themeColor="hyperlink"/>
      <w:u w:val="single"/>
    </w:rPr>
  </w:style>
  <w:style w:type="character" w:styleId="Nierozpoznanawzmianka">
    <w:name w:val="Unresolved Mention"/>
    <w:basedOn w:val="Domylnaczcionkaakapitu"/>
    <w:uiPriority w:val="99"/>
    <w:semiHidden/>
    <w:unhideWhenUsed/>
    <w:rsid w:val="00D222D6"/>
    <w:rPr>
      <w:color w:val="605E5C"/>
      <w:shd w:val="clear" w:color="auto" w:fill="E1DFDD"/>
    </w:rPr>
  </w:style>
  <w:style w:type="character" w:styleId="Pogrubienie">
    <w:name w:val="Strong"/>
    <w:uiPriority w:val="22"/>
    <w:qFormat/>
    <w:rsid w:val="00EC1D65"/>
    <w:rPr>
      <w:b/>
    </w:rPr>
  </w:style>
  <w:style w:type="paragraph" w:styleId="NormalnyWeb">
    <w:name w:val="Normal (Web)"/>
    <w:basedOn w:val="Normalny"/>
    <w:uiPriority w:val="99"/>
    <w:rsid w:val="00EC1D65"/>
    <w:pPr>
      <w:widowControl w:val="0"/>
      <w:suppressAutoHyphens/>
      <w:spacing w:before="120" w:after="120" w:line="360" w:lineRule="auto"/>
      <w:jc w:val="both"/>
    </w:pPr>
    <w:rPr>
      <w:rFonts w:ascii="Times New Roman" w:eastAsia="HG Mincho Light J" w:hAnsi="Times New Roman" w:cs="Times New Roman"/>
      <w:color w:val="000000"/>
      <w:sz w:val="24"/>
      <w:szCs w:val="24"/>
      <w:lang w:eastAsia="ar-SA"/>
    </w:rPr>
  </w:style>
  <w:style w:type="paragraph" w:styleId="Poprawka">
    <w:name w:val="Revision"/>
    <w:hidden/>
    <w:uiPriority w:val="99"/>
    <w:semiHidden/>
    <w:rsid w:val="000904C6"/>
    <w:pPr>
      <w:spacing w:after="0" w:line="240" w:lineRule="auto"/>
    </w:pPr>
  </w:style>
  <w:style w:type="character" w:styleId="Odwoaniedokomentarza">
    <w:name w:val="annotation reference"/>
    <w:basedOn w:val="Domylnaczcionkaakapitu"/>
    <w:uiPriority w:val="99"/>
    <w:semiHidden/>
    <w:unhideWhenUsed/>
    <w:rsid w:val="000904C6"/>
    <w:rPr>
      <w:sz w:val="16"/>
      <w:szCs w:val="16"/>
    </w:rPr>
  </w:style>
  <w:style w:type="paragraph" w:styleId="Tekstkomentarza">
    <w:name w:val="annotation text"/>
    <w:basedOn w:val="Normalny"/>
    <w:link w:val="TekstkomentarzaZnak"/>
    <w:uiPriority w:val="99"/>
    <w:unhideWhenUsed/>
    <w:rsid w:val="000904C6"/>
    <w:pPr>
      <w:spacing w:line="240" w:lineRule="auto"/>
    </w:pPr>
    <w:rPr>
      <w:sz w:val="20"/>
      <w:szCs w:val="20"/>
    </w:rPr>
  </w:style>
  <w:style w:type="character" w:customStyle="1" w:styleId="TekstkomentarzaZnak">
    <w:name w:val="Tekst komentarza Znak"/>
    <w:basedOn w:val="Domylnaczcionkaakapitu"/>
    <w:link w:val="Tekstkomentarza"/>
    <w:uiPriority w:val="99"/>
    <w:rsid w:val="000904C6"/>
    <w:rPr>
      <w:sz w:val="20"/>
      <w:szCs w:val="20"/>
    </w:rPr>
  </w:style>
  <w:style w:type="paragraph" w:styleId="Tematkomentarza">
    <w:name w:val="annotation subject"/>
    <w:basedOn w:val="Tekstkomentarza"/>
    <w:next w:val="Tekstkomentarza"/>
    <w:link w:val="TematkomentarzaZnak"/>
    <w:uiPriority w:val="99"/>
    <w:semiHidden/>
    <w:unhideWhenUsed/>
    <w:rsid w:val="000904C6"/>
    <w:rPr>
      <w:b/>
      <w:bCs/>
    </w:rPr>
  </w:style>
  <w:style w:type="character" w:customStyle="1" w:styleId="TematkomentarzaZnak">
    <w:name w:val="Temat komentarza Znak"/>
    <w:basedOn w:val="TekstkomentarzaZnak"/>
    <w:link w:val="Tematkomentarza"/>
    <w:uiPriority w:val="99"/>
    <w:semiHidden/>
    <w:rsid w:val="000904C6"/>
    <w:rPr>
      <w:b/>
      <w:bCs/>
      <w:sz w:val="20"/>
      <w:szCs w:val="20"/>
    </w:rPr>
  </w:style>
  <w:style w:type="paragraph" w:styleId="Tekstpodstawowy">
    <w:name w:val="Body Text"/>
    <w:basedOn w:val="Normalny"/>
    <w:link w:val="TekstpodstawowyZnak"/>
    <w:uiPriority w:val="1"/>
    <w:qFormat/>
    <w:rsid w:val="001C2861"/>
    <w:pPr>
      <w:widowControl w:val="0"/>
      <w:autoSpaceDE w:val="0"/>
      <w:autoSpaceDN w:val="0"/>
      <w:spacing w:after="0" w:line="240" w:lineRule="auto"/>
    </w:pPr>
    <w:rPr>
      <w:rFonts w:ascii="Arial" w:eastAsia="Arial" w:hAnsi="Arial" w:cs="Arial"/>
    </w:rPr>
  </w:style>
  <w:style w:type="character" w:customStyle="1" w:styleId="TekstpodstawowyZnak">
    <w:name w:val="Tekst podstawowy Znak"/>
    <w:basedOn w:val="Domylnaczcionkaakapitu"/>
    <w:link w:val="Tekstpodstawowy"/>
    <w:uiPriority w:val="1"/>
    <w:rsid w:val="001C2861"/>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7618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michal.ciesielski@saint-gobain.com" TargetMode="Externa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yperlink" Target="https://architecture-student-contest.saint-gobain.com/project/2026/morocco/sava-thread"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architecture-student-contest.saint-gobain.com/project/2026/china/meandering-confluence" TargetMode="External"/><Relationship Id="rId20" Type="http://schemas.openxmlformats.org/officeDocument/2006/relationships/hyperlink" Target="https://www.linkedin.com/company/saint-gobain-poland"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architecture-student-contest.saint-gobain.com/project/2026/south-africa/ceding-sava" TargetMode="External"/><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architecture-student-contest.saint-gobain.com/project/2026/france/birds-nest" TargetMode="External"/><Relationship Id="rId23"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hyperlink" Target="www.saint-gobain.pl"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architecture-student-contest.saint-gobain.com/project/2026/portugal/coexistence" TargetMode="External"/><Relationship Id="rId22" Type="http://schemas.openxmlformats.org/officeDocument/2006/relationships/hyperlink" Target="mailto:monika.mazurek@saint-gobain.com"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SGB to Word">
      <a:dk1>
        <a:sysClr val="windowText" lastClr="000000"/>
      </a:dk1>
      <a:lt1>
        <a:sysClr val="window" lastClr="FFFFFF"/>
      </a:lt1>
      <a:dk2>
        <a:srgbClr val="3F3F3F"/>
      </a:dk2>
      <a:lt2>
        <a:srgbClr val="FFFFFF"/>
      </a:lt2>
      <a:accent1>
        <a:srgbClr val="17428C"/>
      </a:accent1>
      <a:accent2>
        <a:srgbClr val="CE142E"/>
      </a:accent2>
      <a:accent3>
        <a:srgbClr val="E5531A"/>
      </a:accent3>
      <a:accent4>
        <a:srgbClr val="67B9B0"/>
      </a:accent4>
      <a:accent5>
        <a:srgbClr val="219CDC"/>
      </a:accent5>
      <a:accent6>
        <a:srgbClr val="17428C"/>
      </a:accent6>
      <a:hlink>
        <a:srgbClr val="CE142E"/>
      </a:hlink>
      <a:folHlink>
        <a:srgbClr val="E5531A"/>
      </a:folHlink>
    </a:clrScheme>
    <a:fontScheme name="SGB to word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18CDB73DB3F46A4EB699A50866D51C7A" ma:contentTypeVersion="10" ma:contentTypeDescription="Utwórz nowy dokument." ma:contentTypeScope="" ma:versionID="830a37ec3d0e817c577f72310356375c">
  <xsd:schema xmlns:xsd="http://www.w3.org/2001/XMLSchema" xmlns:xs="http://www.w3.org/2001/XMLSchema" xmlns:p="http://schemas.microsoft.com/office/2006/metadata/properties" xmlns:ns2="f7f9057e-7b35-4e8c-b6e9-f0ae99fecf78" xmlns:ns3="1e876612-20a0-4a84-bef3-a221432ae682" targetNamespace="http://schemas.microsoft.com/office/2006/metadata/properties" ma:root="true" ma:fieldsID="f90354498334539d878fe874eea44a5d" ns2:_="" ns3:_="">
    <xsd:import namespace="f7f9057e-7b35-4e8c-b6e9-f0ae99fecf78"/>
    <xsd:import namespace="1e876612-20a0-4a84-bef3-a221432ae68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f9057e-7b35-4e8c-b6e9-f0ae99fecf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Tagi obrazów" ma:readOnly="false" ma:fieldId="{5cf76f15-5ced-4ddc-b409-7134ff3c332f}" ma:taxonomyMulti="true" ma:sspId="8a8e937e-a000-4b8d-b995-2f10e0fc0729"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876612-20a0-4a84-bef3-a221432ae68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64e8c27-52ed-4f46-bfbb-c0cad9d4aadf}" ma:internalName="TaxCatchAll" ma:showField="CatchAllData" ma:web="1e876612-20a0-4a84-bef3-a221432ae6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7f9057e-7b35-4e8c-b6e9-f0ae99fecf78">
      <Terms xmlns="http://schemas.microsoft.com/office/infopath/2007/PartnerControls"/>
    </lcf76f155ced4ddcb4097134ff3c332f>
    <TaxCatchAll xmlns="1e876612-20a0-4a84-bef3-a221432ae682" xsi:nil="true"/>
  </documentManagement>
</p:properties>
</file>

<file path=customXml/itemProps1.xml><?xml version="1.0" encoding="utf-8"?>
<ds:datastoreItem xmlns:ds="http://schemas.openxmlformats.org/officeDocument/2006/customXml" ds:itemID="{110CBFE5-15A6-4465-B7BD-C5FC4261DBB0}">
  <ds:schemaRefs>
    <ds:schemaRef ds:uri="http://schemas.openxmlformats.org/officeDocument/2006/bibliography"/>
  </ds:schemaRefs>
</ds:datastoreItem>
</file>

<file path=customXml/itemProps2.xml><?xml version="1.0" encoding="utf-8"?>
<ds:datastoreItem xmlns:ds="http://schemas.openxmlformats.org/officeDocument/2006/customXml" ds:itemID="{076604C2-A2BE-401E-8BF7-1C1B748F54AD}">
  <ds:schemaRefs>
    <ds:schemaRef ds:uri="http://schemas.microsoft.com/sharepoint/v3/contenttype/forms"/>
  </ds:schemaRefs>
</ds:datastoreItem>
</file>

<file path=customXml/itemProps3.xml><?xml version="1.0" encoding="utf-8"?>
<ds:datastoreItem xmlns:ds="http://schemas.openxmlformats.org/officeDocument/2006/customXml" ds:itemID="{6C4A08A9-C8BC-4169-B8AF-8AEE21196C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f9057e-7b35-4e8c-b6e9-f0ae99fecf78"/>
    <ds:schemaRef ds:uri="1e876612-20a0-4a84-bef3-a221432ae6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6AAF291-C320-4D55-A0C0-D879C6ABC5CB}">
  <ds:schemaRefs>
    <ds:schemaRef ds:uri="http://schemas.microsoft.com/office/2006/metadata/properties"/>
    <ds:schemaRef ds:uri="http://schemas.microsoft.com/office/infopath/2007/PartnerControls"/>
    <ds:schemaRef ds:uri="f7f9057e-7b35-4e8c-b6e9-f0ae99fecf78"/>
    <ds:schemaRef ds:uri="1e876612-20a0-4a84-bef3-a221432ae682"/>
  </ds:schemaRefs>
</ds:datastoreItem>
</file>

<file path=docMetadata/LabelInfo.xml><?xml version="1.0" encoding="utf-8"?>
<clbl:labelList xmlns:clbl="http://schemas.microsoft.com/office/2020/mipLabelMetadata">
  <clbl:label id="{ced06422-c515-4a4e-a1f2-e6a0c0200eae}" enabled="1" method="Standard" siteId="{e339bd4b-2e3b-4035-a452-2112d502f2ff}" removed="0"/>
</clbl:labelList>
</file>

<file path=docProps/app.xml><?xml version="1.0" encoding="utf-8"?>
<Properties xmlns="http://schemas.openxmlformats.org/officeDocument/2006/extended-properties" xmlns:vt="http://schemas.openxmlformats.org/officeDocument/2006/docPropsVTypes">
  <Template>Normal</Template>
  <TotalTime>6</TotalTime>
  <Pages>5</Pages>
  <Words>1181</Words>
  <Characters>7089</Characters>
  <Application>Microsoft Office Word</Application>
  <DocSecurity>0</DocSecurity>
  <Lines>59</Lines>
  <Paragraphs>16</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Pokeslide</dc:creator>
  <cp:keywords/>
  <dc:description/>
  <cp:lastModifiedBy>Tower Group 2</cp:lastModifiedBy>
  <cp:revision>4</cp:revision>
  <cp:lastPrinted>2023-08-04T05:04:00Z</cp:lastPrinted>
  <dcterms:created xsi:type="dcterms:W3CDTF">2026-06-29T11:46:00Z</dcterms:created>
  <dcterms:modified xsi:type="dcterms:W3CDTF">2026-06-29T12:07:00Z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ed06422-c515-4a4e-a1f2-e6a0c0200eae_Enabled">
    <vt:lpwstr>true</vt:lpwstr>
  </property>
  <property fmtid="{D5CDD505-2E9C-101B-9397-08002B2CF9AE}" pid="3" name="MSIP_Label_ced06422-c515-4a4e-a1f2-e6a0c0200eae_SetDate">
    <vt:lpwstr>2023-08-03T12:58:00Z</vt:lpwstr>
  </property>
  <property fmtid="{D5CDD505-2E9C-101B-9397-08002B2CF9AE}" pid="4" name="MSIP_Label_ced06422-c515-4a4e-a1f2-e6a0c0200eae_Method">
    <vt:lpwstr>Standard</vt:lpwstr>
  </property>
  <property fmtid="{D5CDD505-2E9C-101B-9397-08002B2CF9AE}" pid="5" name="MSIP_Label_ced06422-c515-4a4e-a1f2-e6a0c0200eae_Name">
    <vt:lpwstr>Unclassifed</vt:lpwstr>
  </property>
  <property fmtid="{D5CDD505-2E9C-101B-9397-08002B2CF9AE}" pid="6" name="MSIP_Label_ced06422-c515-4a4e-a1f2-e6a0c0200eae_SiteId">
    <vt:lpwstr>e339bd4b-2e3b-4035-a452-2112d502f2ff</vt:lpwstr>
  </property>
  <property fmtid="{D5CDD505-2E9C-101B-9397-08002B2CF9AE}" pid="7" name="MSIP_Label_ced06422-c515-4a4e-a1f2-e6a0c0200eae_ActionId">
    <vt:lpwstr>e2aaf951-d1f1-4a61-9ac5-f5e5c1df91a8</vt:lpwstr>
  </property>
  <property fmtid="{D5CDD505-2E9C-101B-9397-08002B2CF9AE}" pid="8" name="MSIP_Label_ced06422-c515-4a4e-a1f2-e6a0c0200eae_ContentBits">
    <vt:lpwstr>0</vt:lpwstr>
  </property>
  <property fmtid="{D5CDD505-2E9C-101B-9397-08002B2CF9AE}" pid="9" name="ContentTypeId">
    <vt:lpwstr>0x01010018CDB73DB3F46A4EB699A50866D51C7A</vt:lpwstr>
  </property>
</Properties>
</file>