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8E8D2" w14:textId="187A2465" w:rsidR="0001791C" w:rsidRDefault="0001791C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3BD2D86A" w14:textId="0652ED4B" w:rsid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center"/>
        <w:rPr>
          <w:b/>
          <w:bCs/>
          <w:color w:val="000000"/>
        </w:rPr>
      </w:pPr>
      <w:r w:rsidRPr="009B4210">
        <w:rPr>
          <w:b/>
          <w:bCs/>
          <w:color w:val="000000"/>
        </w:rPr>
        <w:t>Zamiast działek szukają gigawatów. Nowa geografia globalnego rynku data center</w:t>
      </w:r>
    </w:p>
    <w:p w14:paraId="4260EC80" w14:textId="0711400D" w:rsidR="009B4210" w:rsidRDefault="009B4210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b/>
          <w:bCs/>
          <w:color w:val="000000"/>
          <w:sz w:val="20"/>
          <w:szCs w:val="20"/>
        </w:rPr>
      </w:pPr>
      <w:r w:rsidRPr="009B4210">
        <w:rPr>
          <w:b/>
          <w:bCs/>
          <w:color w:val="000000"/>
          <w:sz w:val="20"/>
          <w:szCs w:val="20"/>
        </w:rPr>
        <w:t>Globalny rynek data center wchodzi w bardziej dojrzałą fazę rozwoju. Jak wynika z raportu Cushman &amp; Wakefield „2026 Global Data Center Market Comparison”, łączna moc centrów danych znajdujących się obecnie w budowie na świecie zbliżyła się w 2025 roku do 31,7 GW – to ponad 2,5-krotny wzrost w porównaniu z poprzednią edycją zestawienia. Rozwój rynku napędzają sztuczna inteligencja, chmura obliczeniowa i rosnące zapotrzebowanie na infrastrukturę cyfrową. W tym globalnym wyścigu Warszawa została sklasyfikowana wśród 107 kluczowych rynków, a Polska może wzmacniać swoją pozycję jako jedna z ważnych lokalizacji dla infrastruktury cyfrowej w Europie Środkowo-Wschodniej. Jak wskazują eksperci Cushman &amp; Wakefiled Poland, mamy jednak kilka ważnych lekcji do odrobienia.</w:t>
      </w:r>
    </w:p>
    <w:p w14:paraId="5E05BCF4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Największym rynkiem data center na świecie pozostaje Virginia, a w czołówce znajdują się również m.in. Pekin i Szanghaj. O lokalizacji nowych projektów coraz częściej decydują jednak nie sam popyt, ale przede wszystkim czas dostarczenia energii, dostępność odpowiednich gruntów i stabilność regulacyjna.</w:t>
      </w:r>
      <w:r w:rsidRPr="009B4210">
        <w:rPr>
          <w:b/>
          <w:bCs/>
          <w:color w:val="000000"/>
          <w:sz w:val="20"/>
          <w:szCs w:val="20"/>
        </w:rPr>
        <w:t xml:space="preserve"> </w:t>
      </w:r>
      <w:r w:rsidRPr="009B4210">
        <w:rPr>
          <w:color w:val="000000"/>
          <w:sz w:val="20"/>
          <w:szCs w:val="20"/>
        </w:rPr>
        <w:t>Rynek data center nadal rośnie w bardzo szybkim tempie, ale jego rozwój staje się coraz bardziej selektywny. Inwestorzy i operatorzy koncentrują się na lokalizacjach, które poza popytem oferują realny dostęp do energii, odpowiednio przygotowane grunty, stabilne otoczenie regulacyjne i przewidywalny proces inwestycyjny. W praktyce oznacza to, że o atrakcyjności rynku decyduje dziś nie tylko potencjał wzrostu, lecz także zdolność do terminowej realizacji projektów.</w:t>
      </w:r>
    </w:p>
    <w:p w14:paraId="1D2EB6B5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Największa część aktywności deweloperskiej koncentruje się w obu Amerykach, które odpowiadają za blisko 77% globalnej mocy obecnie w budowie, czyli 24,3 GW. Jednocześnie rynek EMEA rozwija się coraz bardziej selektywnie: tradycyjne huby, takie jak Frankfurt, Londyn, Amsterdam, Paryż i Dublin (rynku FLAPD), nadal pozostają kluczowe, ale rośnie znaczenie miast oferujących korzystniejsze warunki energetyczne, kosztowe i regulacyjne, w tym Helsinek, Oslo, Madrytu czy Mediolanu.</w:t>
      </w:r>
    </w:p>
    <w:p w14:paraId="2423FDF8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Jak ma się skala USA do EMEA? Pod względem istniejących zasobów Wirginia pozostaje największym rynkiem data center na świecie z 11,3 GW mocy operacyjnej. Z kolei zachodni Teksas rozwija się jako jeden z najszybciej rosnących hubów nowej generacji – z 2,9 GW mocy obecnie w budowie, czyli większą skalą niż cała moc data center znajdująca się w realizacji w regionie EMEA.</w:t>
      </w:r>
    </w:p>
    <w:p w14:paraId="13D2E020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9B4210">
        <w:rPr>
          <w:b/>
          <w:bCs/>
          <w:color w:val="000000"/>
          <w:sz w:val="20"/>
          <w:szCs w:val="20"/>
        </w:rPr>
        <w:t>EMEA: wzrost wychodzi poza tradycyjne huby</w:t>
      </w:r>
    </w:p>
    <w:p w14:paraId="1BECD49D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W Europie, na Bliskim Wschodzie i w Afryce rynek data center rozwija się w bardziej zróżnicowany sposób. Londyn i Dublin przekroczyły poziom 1 GW mocy operacyjnej, wzmacniając swoją pozycję jako najważniejsze huby regionu. Frankfurt, z ponad 850 MW mocy operacyjnej, ma dołączyć do tej grupy w kolejnych latach.</w:t>
      </w:r>
    </w:p>
    <w:p w14:paraId="67A54C38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Jednocześnie coraz większą rolę odgrywają rynki spoza tradycyjnego układu Frankfurt–Londyn–Amsterdam–Paryż–Dublin. Madryt i Mediolan szybko zwiększają skalę planowanych projektów, a Helsinki i Oslo korzystają z przewag związanych z dostępnością oraz kosztami energii.</w:t>
      </w:r>
    </w:p>
    <w:p w14:paraId="3CCC0AB9" w14:textId="7E9C8B99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Raport pokazuje też, że rozwój w Europie coraz mocniej kształtują regulacje i lokalne uwarunkowania. Amsterdam, jeden z historycznie najważniejszych rynków europejskich, odnotowuje ograniczoną dynamikę rozwoju z powodu bardziej restrykcyjnego otoczenia regulacyjnego i społecznych obaw wobec inwestycji tego typu.</w:t>
      </w:r>
    </w:p>
    <w:p w14:paraId="62D09991" w14:textId="384700FB" w:rsidR="009B4210" w:rsidRPr="009B4210" w:rsidRDefault="007420F8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rPr>
          <w:i/>
          <w:iCs/>
          <w:color w:val="000000"/>
          <w:sz w:val="20"/>
          <w:szCs w:val="20"/>
        </w:rPr>
      </w:pPr>
      <w:r w:rsidRPr="007420F8">
        <w:rPr>
          <w:i/>
          <w:iCs/>
          <w:color w:val="000000"/>
          <w:sz w:val="20"/>
          <w:szCs w:val="20"/>
        </w:rPr>
        <w:t>„</w:t>
      </w:r>
      <w:r w:rsidR="009B4210" w:rsidRPr="009B4210">
        <w:rPr>
          <w:i/>
          <w:iCs/>
          <w:color w:val="000000"/>
          <w:sz w:val="20"/>
          <w:szCs w:val="20"/>
        </w:rPr>
        <w:t>EMEA nadal ma silne fundamenty popytowe, ale region bardzo dobrze pokazuje, jak duże znaczenie w procesie wyboru lokalizacji zyskują regulacje, polityka energetyczna i nastawienie lokalnych społeczności</w:t>
      </w:r>
      <w:r w:rsidR="009B4210">
        <w:rPr>
          <w:i/>
          <w:iCs/>
          <w:color w:val="000000"/>
          <w:sz w:val="20"/>
          <w:szCs w:val="20"/>
        </w:rPr>
        <w:t>”</w:t>
      </w:r>
      <w:r w:rsidR="009B4210" w:rsidRPr="009B4210">
        <w:rPr>
          <w:i/>
          <w:iCs/>
          <w:color w:val="000000"/>
          <w:sz w:val="20"/>
          <w:szCs w:val="20"/>
        </w:rPr>
        <w:t xml:space="preserve"> – </w:t>
      </w:r>
      <w:r w:rsidR="009B4210" w:rsidRPr="009B4210">
        <w:rPr>
          <w:color w:val="000000"/>
          <w:sz w:val="20"/>
          <w:szCs w:val="20"/>
        </w:rPr>
        <w:t xml:space="preserve">mówi </w:t>
      </w:r>
      <w:r w:rsidR="009B4210" w:rsidRPr="009B4210">
        <w:rPr>
          <w:b/>
          <w:bCs/>
          <w:color w:val="000000"/>
          <w:sz w:val="20"/>
          <w:szCs w:val="20"/>
        </w:rPr>
        <w:t>Andrew Fray, Head of EMEA Data Centers, Cushman &amp; Wakefield</w:t>
      </w:r>
      <w:r w:rsidR="009B4210" w:rsidRPr="009B4210">
        <w:rPr>
          <w:color w:val="000000"/>
          <w:sz w:val="20"/>
          <w:szCs w:val="20"/>
        </w:rPr>
        <w:t>.</w:t>
      </w:r>
    </w:p>
    <w:p w14:paraId="77A04D54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i/>
          <w:iCs/>
          <w:color w:val="000000"/>
          <w:sz w:val="20"/>
          <w:szCs w:val="20"/>
        </w:rPr>
      </w:pPr>
    </w:p>
    <w:p w14:paraId="12E6F109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b/>
          <w:bCs/>
          <w:color w:val="000000"/>
          <w:sz w:val="20"/>
          <w:szCs w:val="20"/>
        </w:rPr>
        <w:t>Polska z przewagami kosztowymi i korzystnym profilem ryzyka środowiskowego</w:t>
      </w:r>
    </w:p>
    <w:p w14:paraId="40B9A609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Polska nie ma jeszcze skali największych hubów Europy Zachodniej, ale analiza wskaźników raportu ujawnia jej potencjał wraz z dywersyfikacją rozwoju poza najbardziej obciążone lokalizacje. W raporcie wskazano, że w regionie EMEA Warszawa – obok Madrytu, Mediolanu i Barcelony – oferuje bardziej konkurencyjny próg wejścia pod względem kosztów gruntów niż najdroższe lokalizacje Europy Zachodniej, takie jak Londyn, Zurych, Dublin, Amsterdam czy Paryż. Jednocześnie Warszawa pojawia się wśród rynków o korzystnym profilu ryzyka środowiskowego, co ma duże znaczenie przy inwestycjach wymagających wysokiej niezawodności operacyjnej i odporności na czynniki klimatyczne.</w:t>
      </w:r>
    </w:p>
    <w:p w14:paraId="2D2370DA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Dla inwestorów kluczowe będą jednak dalsze kroki strukturalne: możliwość zabezpieczenia dużych wolumenów energii, przewidywalne harmonogramy przyłączeń, rozwój sieci przesyłowych oraz jasne zasady współpracy z samorządami.</w:t>
      </w:r>
    </w:p>
    <w:p w14:paraId="43AD1CE8" w14:textId="3859B27A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“</w:t>
      </w:r>
      <w:r w:rsidRPr="009B4210">
        <w:rPr>
          <w:i/>
          <w:iCs/>
          <w:color w:val="000000"/>
          <w:sz w:val="20"/>
          <w:szCs w:val="20"/>
        </w:rPr>
        <w:t xml:space="preserve">Polska ma argumenty, które mogą zwiększać jej atrakcyjność w sektorze data center: położenie w centrum Europy, duży rynek wewnętrzny, rozwijający się ekosystem technologiczny oraz zaplecze talentów. Jednocześnie musimy pamiętać, że sama dostępność gruntu już nie wystarczy. O konkurencyjności lokalizacji na nowej mapie cyfrowej Europy zdecyduje przede wszystkim energia </w:t>
      </w:r>
      <w:r w:rsidRPr="009B4210">
        <w:rPr>
          <w:color w:val="000000"/>
          <w:sz w:val="20"/>
          <w:szCs w:val="20"/>
        </w:rPr>
        <w:t>–</w:t>
      </w:r>
      <w:r w:rsidRPr="009B4210">
        <w:rPr>
          <w:i/>
          <w:iCs/>
          <w:color w:val="000000"/>
          <w:sz w:val="20"/>
          <w:szCs w:val="20"/>
        </w:rPr>
        <w:t xml:space="preserve"> jej stabilność, koszt, niskoemisyjność i realny termin dostarczenia</w:t>
      </w:r>
      <w:r>
        <w:rPr>
          <w:i/>
          <w:iCs/>
          <w:color w:val="000000"/>
          <w:sz w:val="20"/>
          <w:szCs w:val="20"/>
        </w:rPr>
        <w:t>”</w:t>
      </w:r>
      <w:r w:rsidRPr="009B4210">
        <w:rPr>
          <w:color w:val="000000"/>
          <w:sz w:val="20"/>
          <w:szCs w:val="20"/>
        </w:rPr>
        <w:t xml:space="preserve"> – komentuje  </w:t>
      </w:r>
      <w:r w:rsidRPr="009B4210">
        <w:rPr>
          <w:b/>
          <w:bCs/>
          <w:color w:val="000000"/>
          <w:sz w:val="20"/>
          <w:szCs w:val="20"/>
        </w:rPr>
        <w:t>Kamil Żach, Head of Industrial Sector, Cushman &amp; Wakefield. </w:t>
      </w:r>
    </w:p>
    <w:p w14:paraId="633AD595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b/>
          <w:bCs/>
          <w:color w:val="000000"/>
          <w:sz w:val="20"/>
          <w:szCs w:val="20"/>
        </w:rPr>
        <w:t>Energia staje się najważniejszą walutą rynku</w:t>
      </w:r>
    </w:p>
    <w:p w14:paraId="6320A525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Zgodnie z raportem Cushman &amp; Wakefield, dostęp do energii pozostaje najważniejszym czynnikiem kształtującym globalną strategię rozwoju centrów danych. Średni czas dostarczenia energii dla nowych dużych odbiorców wynosi obecnie globalnie 4,4 roku. W regionie EMEA wskaźnik ten wynosi średnio 4,2 roku, czyli mniej niż w obu Amerykach, gdzie sięga 4,9 roku. Różnica ta wynika m.in. ze skali zatorów infrastrukturalnych w USA.</w:t>
      </w:r>
    </w:p>
    <w:p w14:paraId="766C6B7B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W efekcie inwestorzy coraz częściej szukają nie tyle gruntu, ile gruntu z realnie zabezpieczonym dostępem do mocy. W 2025 roku na znaczeniu zyskały transakcje dotyczące terenów z potwierdzoną lub możliwą do szybkiego dostarczenia energią. Raport wskazuje, że takie lokalizacje osiągają wyraźnie wyższe wyceny niż działki bez potwierdzonego dostępu do mocy, ponieważ dla operatorów i użytkowników centrów danych liczy się przede wszystkim pewność oraz tempo uruchomienia projektu.</w:t>
      </w:r>
    </w:p>
    <w:p w14:paraId="3864553B" w14:textId="7FA3DEE1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“</w:t>
      </w:r>
      <w:r w:rsidRPr="009B4210">
        <w:rPr>
          <w:i/>
          <w:iCs/>
          <w:color w:val="000000"/>
          <w:sz w:val="20"/>
          <w:szCs w:val="20"/>
        </w:rPr>
        <w:t>Rynek przeszedł od pytania „gdzie jest grunt?” do pytania „gdzie jest moc?”. To fundamentalna zmiana w strategii nieruchomościowej sektora data center. W Polsce oznacza to konieczność jeszcze wcześniejszej i bardziej szczegółowej analizy energetycznej działek, ścisłej współpracy z operatorami sieci oraz zmierzenia się z wyzwaniami jakie wnosi nowa ustawa tzw. “UC84”. Zmienia ona dotychczasowy proces ubiegania się o warunki techniczne oraz proces zawarcia umowy przyłączeniowej. Projekty, które będą w stanie udowodnić realną dostępność energii, zyskają przewagę nad lokalizacjami atrakcyjnymi jedynie na poziomie parametrów planistycznych</w:t>
      </w:r>
      <w:r>
        <w:rPr>
          <w:color w:val="000000"/>
          <w:sz w:val="20"/>
          <w:szCs w:val="20"/>
        </w:rPr>
        <w:t xml:space="preserve">” </w:t>
      </w:r>
      <w:r w:rsidRPr="009B4210">
        <w:rPr>
          <w:color w:val="000000"/>
          <w:sz w:val="20"/>
          <w:szCs w:val="20"/>
        </w:rPr>
        <w:t xml:space="preserve">– dodaje </w:t>
      </w:r>
      <w:r w:rsidRPr="009B4210">
        <w:rPr>
          <w:b/>
          <w:bCs/>
          <w:color w:val="000000"/>
          <w:sz w:val="20"/>
          <w:szCs w:val="20"/>
        </w:rPr>
        <w:t>Kamil Żach. </w:t>
      </w:r>
    </w:p>
    <w:p w14:paraId="7C268289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b/>
          <w:bCs/>
          <w:color w:val="000000"/>
          <w:sz w:val="20"/>
          <w:szCs w:val="20"/>
        </w:rPr>
        <w:t>Regulacje i społeczna akceptacja będą coraz ważniejsze</w:t>
      </w:r>
    </w:p>
    <w:p w14:paraId="6C6AB442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Raport Cushman &amp; Wakefield podkreśla, że globalne otoczenie regulacyjne dla centrów danych staje się coraz bardziej złożone. Rządy i samorządy w wielu krajach wprowadzają nowe zasady dotyczące zużycia energii, wykorzystania wody, oddziaływania na sieci elektroenergetyczne, lokalizacji inwestycji i efektywności środowiskowej. Coraz częściej na decyzje inwestycyjne wpływa także nastawienie lokalnych społeczności.</w:t>
      </w:r>
    </w:p>
    <w:p w14:paraId="549236CB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 xml:space="preserve">To istotna lekcja dla Polski. Wraz z rozwojem rynku data center rosnąć będzie potrzeba transparentnej </w:t>
      </w:r>
      <w:r w:rsidRPr="009B4210">
        <w:rPr>
          <w:color w:val="000000"/>
          <w:sz w:val="20"/>
          <w:szCs w:val="20"/>
        </w:rPr>
        <w:lastRenderedPageBreak/>
        <w:t>komunikacji o wpływie takich projektów na lokalną gospodarkę, miejsca pracy, podatki, infrastrukturę, zużycie energii i środowisko. Dla samorządów może to być szansa na przyciągnięcie nowego typu inwestycji, ale także wyzwanie wymagające odpowiednich kompetencji technicznych i planistycznych.</w:t>
      </w:r>
    </w:p>
    <w:p w14:paraId="084CFC77" w14:textId="61A663E1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“</w:t>
      </w:r>
      <w:r w:rsidRPr="009B4210">
        <w:rPr>
          <w:i/>
          <w:iCs/>
          <w:color w:val="000000"/>
          <w:sz w:val="20"/>
          <w:szCs w:val="20"/>
        </w:rPr>
        <w:t xml:space="preserve">Centra danych coraz częściej będą oceniane nie tylko przez pryzmat inwestycji kapitałowych, ale także przez ich wpływ na lokalną infrastrukturę, bezpieczeństwo energetyczne i środowisko. W Polsce ważne będzie budowanie zrozumienia wokół tego sektora </w:t>
      </w:r>
      <w:r w:rsidRPr="009B4210">
        <w:rPr>
          <w:color w:val="000000"/>
          <w:sz w:val="20"/>
          <w:szCs w:val="20"/>
        </w:rPr>
        <w:t>–</w:t>
      </w:r>
      <w:r w:rsidRPr="009B4210">
        <w:rPr>
          <w:i/>
          <w:iCs/>
          <w:color w:val="000000"/>
          <w:sz w:val="20"/>
          <w:szCs w:val="20"/>
        </w:rPr>
        <w:t xml:space="preserve"> zarówno po stronie administracji, jak i lokalnych społeczności. Projekty najlepiej przygotowane pod względem technicznym, energetycznym i komunikacyjnym będą miały największą szansę na sprawną realizację</w:t>
      </w:r>
      <w:r>
        <w:rPr>
          <w:i/>
          <w:iCs/>
          <w:color w:val="000000"/>
          <w:sz w:val="20"/>
          <w:szCs w:val="20"/>
        </w:rPr>
        <w:t>”</w:t>
      </w:r>
      <w:r w:rsidRPr="009B4210">
        <w:rPr>
          <w:color w:val="000000"/>
          <w:sz w:val="20"/>
          <w:szCs w:val="20"/>
        </w:rPr>
        <w:t xml:space="preserve"> – komentuje </w:t>
      </w:r>
      <w:r w:rsidRPr="009B4210">
        <w:rPr>
          <w:b/>
          <w:bCs/>
          <w:color w:val="000000"/>
          <w:sz w:val="20"/>
          <w:szCs w:val="20"/>
        </w:rPr>
        <w:t>Kamil Żach</w:t>
      </w:r>
      <w:r w:rsidRPr="009B4210">
        <w:rPr>
          <w:color w:val="000000"/>
          <w:sz w:val="20"/>
          <w:szCs w:val="20"/>
        </w:rPr>
        <w:t>.</w:t>
      </w:r>
    </w:p>
    <w:p w14:paraId="0C7E183B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b/>
          <w:bCs/>
          <w:color w:val="000000"/>
          <w:sz w:val="20"/>
          <w:szCs w:val="20"/>
        </w:rPr>
        <w:t>AI przyspiesza, ale rynek coraz mocniej patrzy na rentowność</w:t>
      </w:r>
    </w:p>
    <w:p w14:paraId="5C744F59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Raport odnosi się również do dyskusji o możliwej bańce inwestycyjnej w infrastrukturze data center związanej z AI. Cushman &amp; Wakefield wskazuje, że należy odróżnić potencjalną bańkę na rynku wycen spółek technologicznych od sytuacji w fizycznej infrastrukturze centrów danych. Z perspektywy nieruchomości i infrastruktury scenariusz nadpodaży jest obecnie mało prawdopodobny, ponieważ popyt nadal przewyższa dostępne zasoby, a bardzo niskie pustostany i wysoki poziom mocy zakontraktowanej przed oddaniem obiektów potwierdzają utrzymujące się niedopasowanie między zapotrzebowaniem a możliwościami rynku.</w:t>
      </w:r>
    </w:p>
    <w:p w14:paraId="7514E0D8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Jednocześnie inwestorzy coraz uważniej analizują rentowność projektów. Rynek przesuwa się od myślenia „budować za wszelką cenę” do oceny, kiedy i w jaki sposób ogromne nakłady infrastrukturalne przełożą się na przychody, wolne przepływy pieniężne i siłę cenową.</w:t>
      </w:r>
    </w:p>
    <w:p w14:paraId="3D02C4AA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b/>
          <w:bCs/>
          <w:color w:val="000000"/>
          <w:sz w:val="20"/>
          <w:szCs w:val="20"/>
        </w:rPr>
        <w:t>Polska w grze o infrastrukturę cyfrową kolejnej dekady</w:t>
      </w:r>
    </w:p>
    <w:p w14:paraId="2E3F93E3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 w:rsidRPr="009B4210">
        <w:rPr>
          <w:color w:val="000000"/>
          <w:sz w:val="20"/>
          <w:szCs w:val="20"/>
        </w:rPr>
        <w:t>Dalszy rozwój rynku data center w Polsce będzie zależał od kilku czynników: inwestycji w sieci elektroenergetyczne, dostępności zielonej i stabilnej energii, sprawności procedur administracyjnych, podaży przygotowanych gruntów oraz gotowości samorządów do współpracy z inwestorami infrastrukturalnymi.</w:t>
      </w:r>
    </w:p>
    <w:p w14:paraId="5819350B" w14:textId="499628B0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“</w:t>
      </w:r>
      <w:r w:rsidRPr="009B4210">
        <w:rPr>
          <w:i/>
          <w:iCs/>
          <w:color w:val="000000"/>
          <w:sz w:val="20"/>
          <w:szCs w:val="20"/>
        </w:rPr>
        <w:t>Polska może być beneficjentem dywersyfikacji rynku data center w EMEA, ale nie wydarzy się to automatycznie. Konkurencja o projekty AI, chmurowe i wielkoskalowe będzie coraz bardziej wymagająca. Wygrywać będą te rynki, które potrafią połączyć atrakcyjność kosztową z realną dostępnością energii, stabilnym otoczeniem regulacyjnym i profesjonalnym przygotowaniem gruntów. To moment, w którym infrastruktura cyfrowa powinna stać się jednym z ważnych tematów rozmowy o długoterminowej konkurencyjności polskiej gospodarki</w:t>
      </w:r>
      <w:r>
        <w:rPr>
          <w:i/>
          <w:iCs/>
          <w:color w:val="000000"/>
          <w:sz w:val="20"/>
          <w:szCs w:val="20"/>
        </w:rPr>
        <w:t>”</w:t>
      </w:r>
      <w:r w:rsidRPr="009B4210">
        <w:rPr>
          <w:b/>
          <w:bCs/>
          <w:i/>
          <w:iCs/>
          <w:color w:val="000000"/>
          <w:sz w:val="20"/>
          <w:szCs w:val="20"/>
        </w:rPr>
        <w:t xml:space="preserve"> </w:t>
      </w:r>
      <w:r w:rsidRPr="009B4210">
        <w:rPr>
          <w:color w:val="000000"/>
          <w:sz w:val="20"/>
          <w:szCs w:val="20"/>
        </w:rPr>
        <w:t xml:space="preserve">– podsumowuje </w:t>
      </w:r>
      <w:r w:rsidRPr="009B4210">
        <w:rPr>
          <w:b/>
          <w:bCs/>
          <w:color w:val="000000"/>
          <w:sz w:val="20"/>
          <w:szCs w:val="20"/>
        </w:rPr>
        <w:t>Kamil Żach. </w:t>
      </w:r>
    </w:p>
    <w:p w14:paraId="7143C0C0" w14:textId="7B26293D" w:rsidR="009B4210" w:rsidRPr="009B4210" w:rsidRDefault="0000000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696B6B"/>
          <w:sz w:val="18"/>
          <w:szCs w:val="18"/>
        </w:rPr>
        <w:br/>
      </w:r>
      <w:r w:rsidR="009B4210" w:rsidRPr="009B4210">
        <w:rPr>
          <w:b/>
          <w:bCs/>
          <w:color w:val="000000"/>
          <w:sz w:val="16"/>
          <w:szCs w:val="16"/>
        </w:rPr>
        <w:t>O raporcie</w:t>
      </w:r>
      <w:r w:rsidR="009B4210">
        <w:rPr>
          <w:b/>
          <w:bCs/>
          <w:color w:val="000000"/>
          <w:sz w:val="16"/>
          <w:szCs w:val="16"/>
        </w:rPr>
        <w:br/>
      </w:r>
    </w:p>
    <w:p w14:paraId="4F4677F1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 w:rsidRPr="009B4210">
        <w:rPr>
          <w:color w:val="000000"/>
          <w:sz w:val="16"/>
          <w:szCs w:val="16"/>
        </w:rPr>
        <w:t>Raport „2026 Global Data Center Market Comparison” Cushman &amp; Wakefield analizuje 107 globalnych rynków data center w oparciu o 24 zmienne obejmujące fundamenty rynkowe, czynniki nieruchomościowe, infrastrukturę energetyczną oraz uwarunkowania polityczne i regulacyjne. Wśród analizowanych elementów znajdują się m.in. moc operacyjna, projekty w budowie i planowane, pustostany, absorpcja, obecność operatorów chmurowych, dostępność gruntów, czas dostarczenia energii, koszty energii, stabilność sieci, ryzyko środowiskowe oraz stabilność polityczna.</w:t>
      </w:r>
    </w:p>
    <w:p w14:paraId="5D744293" w14:textId="77777777" w:rsidR="009B4210" w:rsidRP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16"/>
          <w:szCs w:val="16"/>
        </w:rPr>
      </w:pPr>
    </w:p>
    <w:p w14:paraId="5753C8F0" w14:textId="502ADC11" w:rsidR="009B4210" w:rsidRDefault="009B421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16"/>
          <w:szCs w:val="16"/>
        </w:rPr>
      </w:pPr>
    </w:p>
    <w:p w14:paraId="0A5A1FB4" w14:textId="6420BF32" w:rsidR="0001791C" w:rsidRDefault="0000000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O Cushman &amp; Wakefield </w:t>
      </w:r>
    </w:p>
    <w:p w14:paraId="3E7EF70F" w14:textId="77777777" w:rsidR="000179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34" w:lineRule="auto"/>
        <w:ind w:left="12" w:right="4" w:firstLine="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Cushman &amp; Wakefield (NYSE: CWK) jest wiodącą na świecie firmą świadczącą usługi na rzecz właścicieli i najemców nieruchomości komercyjnych. Zatrudnia ok. 52 tys. pracowników w niemal 400 biurach i 60 krajach na całym świecie. W 2024 roku jej przychody wyniosły 9,4 mld USD. Do najważniejszych usług świadczonych przez firmę należą m.in. zarządzanie nieruchomościami, obiektami i projektami, pośrednictwo w wynajmie powierzchni, obsługa transakcji na rynkach kapitałowych oraz wyceny. Za nieustanne dążenie do doskonałości zgodnie z zasadą Better never settles Cushman &amp; Wakefield otrzymuje wiele wyróżnień oraz nagród w konkursach branżowych i biznesowych. Dodatkowe informacje na stronie www.cushmanwakefield.com. </w:t>
      </w:r>
    </w:p>
    <w:p w14:paraId="27D8DCE8" w14:textId="77777777" w:rsidR="000179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jc w:val="center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- </w:t>
      </w:r>
      <w:r>
        <w:rPr>
          <w:b/>
          <w:bCs/>
          <w:color w:val="000000"/>
          <w:sz w:val="16"/>
          <w:szCs w:val="16"/>
        </w:rPr>
        <w:t>KONIEC -</w:t>
      </w:r>
    </w:p>
    <w:sectPr w:rsidR="0001791C" w:rsidSect="009B4210">
      <w:headerReference w:type="default" r:id="rId6"/>
      <w:footerReference w:type="default" r:id="rId7"/>
      <w:pgSz w:w="11900" w:h="16820"/>
      <w:pgMar w:top="1555" w:right="950" w:bottom="763" w:left="1215" w:header="0" w:footer="1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342E6" w14:textId="77777777" w:rsidR="00FE4F56" w:rsidRDefault="00FE4F56" w:rsidP="009B4210">
      <w:pPr>
        <w:spacing w:line="240" w:lineRule="auto"/>
      </w:pPr>
      <w:r>
        <w:separator/>
      </w:r>
    </w:p>
  </w:endnote>
  <w:endnote w:type="continuationSeparator" w:id="0">
    <w:p w14:paraId="22A5038C" w14:textId="77777777" w:rsidR="00FE4F56" w:rsidRDefault="00FE4F56" w:rsidP="009B42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09765AF-D564-6247-BF8F-5C6D2B29EFC0}"/>
    <w:embedBold r:id="rId2" w:fontKey="{854B51A7-6BA7-6C43-A99F-E140494DC3D4}"/>
    <w:embedItalic r:id="rId3" w:fontKey="{2BB1AB56-58E7-0448-8417-F8210C4F3B00}"/>
    <w:embedBoldItalic r:id="rId4" w:fontKey="{9233E95A-F0B5-BB4A-892D-DCA53F6698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9C47880-B08B-3644-9E35-40F957D308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C7F614B-B182-504C-9C91-2043723CC6F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3A5C5C2-9C18-ED41-88BB-B40AFAFB580D}"/>
    <w:embedBold r:id="rId8" w:fontKey="{528DD7C0-57D4-014C-AB3D-E022928D96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10B5D32-5573-F547-848B-69554F7E54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69BF4" w14:textId="77777777" w:rsidR="009B4210" w:rsidRDefault="009B4210" w:rsidP="009B4210">
    <w:pPr>
      <w:widowControl w:val="0"/>
      <w:pBdr>
        <w:top w:val="nil"/>
        <w:left w:val="nil"/>
        <w:bottom w:val="nil"/>
        <w:right w:val="nil"/>
        <w:between w:val="nil"/>
      </w:pBdr>
      <w:spacing w:before="675" w:line="240" w:lineRule="auto"/>
      <w:ind w:left="263"/>
      <w:rPr>
        <w:rFonts w:ascii="Calibri" w:eastAsia="Calibri" w:hAnsi="Calibri" w:cs="Calibri"/>
        <w:b/>
        <w:bCs/>
        <w:color w:val="696B6B"/>
        <w:sz w:val="18"/>
        <w:szCs w:val="18"/>
      </w:rPr>
    </w:pPr>
    <w:r>
      <w:rPr>
        <w:rFonts w:ascii="Calibri" w:eastAsia="Calibri" w:hAnsi="Calibri" w:cs="Calibri"/>
        <w:b/>
        <w:bCs/>
        <w:color w:val="696B6B"/>
        <w:sz w:val="18"/>
        <w:szCs w:val="18"/>
      </w:rPr>
      <w:t xml:space="preserve">Karolina Samczyńska-Fiślak </w:t>
    </w:r>
  </w:p>
  <w:p w14:paraId="0269C52C" w14:textId="77777777" w:rsidR="009B4210" w:rsidRDefault="009B4210" w:rsidP="009B4210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259"/>
      <w:rPr>
        <w:rFonts w:ascii="Calibri" w:eastAsia="Calibri" w:hAnsi="Calibri" w:cs="Calibri"/>
        <w:color w:val="696B6B"/>
        <w:sz w:val="18"/>
        <w:szCs w:val="18"/>
      </w:rPr>
    </w:pPr>
    <w:r>
      <w:rPr>
        <w:rFonts w:ascii="Calibri" w:eastAsia="Calibri" w:hAnsi="Calibri" w:cs="Calibri"/>
        <w:color w:val="696B6B"/>
        <w:sz w:val="18"/>
        <w:szCs w:val="18"/>
      </w:rPr>
      <w:t>Cushman &amp; Wakefield</w:t>
    </w:r>
  </w:p>
  <w:p w14:paraId="2EBDE12F" w14:textId="77777777" w:rsidR="009B4210" w:rsidRDefault="009B4210" w:rsidP="009B4210">
    <w:pPr>
      <w:widowControl w:val="0"/>
      <w:pBdr>
        <w:top w:val="nil"/>
        <w:left w:val="nil"/>
        <w:bottom w:val="nil"/>
        <w:right w:val="nil"/>
        <w:between w:val="nil"/>
      </w:pBdr>
      <w:spacing w:before="10" w:line="240" w:lineRule="auto"/>
      <w:ind w:left="252"/>
      <w:rPr>
        <w:rFonts w:ascii="Calibri" w:eastAsia="Calibri" w:hAnsi="Calibri" w:cs="Calibri"/>
        <w:color w:val="696B6B"/>
        <w:sz w:val="18"/>
        <w:szCs w:val="18"/>
      </w:rPr>
    </w:pPr>
    <w:r>
      <w:rPr>
        <w:rFonts w:ascii="Calibri" w:eastAsia="Calibri" w:hAnsi="Calibri" w:cs="Calibri"/>
        <w:color w:val="696B6B"/>
        <w:sz w:val="18"/>
        <w:szCs w:val="18"/>
      </w:rPr>
      <w:t xml:space="preserve">Tel: + 48 22 820 20 20; 691 060 202 </w:t>
    </w:r>
  </w:p>
  <w:p w14:paraId="45748465" w14:textId="77777777" w:rsidR="009B4210" w:rsidRDefault="009B4210" w:rsidP="009B4210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257"/>
      <w:rPr>
        <w:rFonts w:ascii="Calibri" w:eastAsia="Calibri" w:hAnsi="Calibri" w:cs="Calibri"/>
        <w:b/>
        <w:bCs/>
        <w:color w:val="696B6B"/>
        <w:sz w:val="18"/>
        <w:szCs w:val="18"/>
      </w:rPr>
    </w:pPr>
    <w:r>
      <w:rPr>
        <w:rFonts w:ascii="Calibri" w:eastAsia="Calibri" w:hAnsi="Calibri" w:cs="Calibri"/>
        <w:b/>
        <w:bCs/>
        <w:color w:val="696B6B"/>
        <w:sz w:val="18"/>
        <w:szCs w:val="18"/>
      </w:rPr>
      <w:t xml:space="preserve">e-mail: Karolina.samczynska@cushwake.com </w:t>
    </w:r>
  </w:p>
  <w:p w14:paraId="14752AAB" w14:textId="77777777" w:rsidR="009B4210" w:rsidRDefault="009B4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FD8F47" w14:textId="77777777" w:rsidR="00FE4F56" w:rsidRDefault="00FE4F56" w:rsidP="009B4210">
      <w:pPr>
        <w:spacing w:line="240" w:lineRule="auto"/>
      </w:pPr>
      <w:r>
        <w:separator/>
      </w:r>
    </w:p>
  </w:footnote>
  <w:footnote w:type="continuationSeparator" w:id="0">
    <w:p w14:paraId="59A99D12" w14:textId="77777777" w:rsidR="00FE4F56" w:rsidRDefault="00FE4F56" w:rsidP="009B42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98E04" w14:textId="3BFB840E" w:rsidR="009B4210" w:rsidRDefault="009B4210">
    <w:pPr>
      <w:pStyle w:val="Header"/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3B05D23F" wp14:editId="5806C29F">
          <wp:simplePos x="0" y="0"/>
          <wp:positionH relativeFrom="column">
            <wp:posOffset>0</wp:posOffset>
          </wp:positionH>
          <wp:positionV relativeFrom="paragraph">
            <wp:posOffset>292100</wp:posOffset>
          </wp:positionV>
          <wp:extent cx="1701165" cy="321945"/>
          <wp:effectExtent l="0" t="0" r="635" b="0"/>
          <wp:wrapSquare wrapText="bothSides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1165" cy="321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91C"/>
    <w:rsid w:val="0001791C"/>
    <w:rsid w:val="00080EDF"/>
    <w:rsid w:val="000D0BF9"/>
    <w:rsid w:val="00391C79"/>
    <w:rsid w:val="007420F8"/>
    <w:rsid w:val="008929EE"/>
    <w:rsid w:val="008A3D98"/>
    <w:rsid w:val="008E688B"/>
    <w:rsid w:val="0090554C"/>
    <w:rsid w:val="009B4210"/>
    <w:rsid w:val="00AC38BA"/>
    <w:rsid w:val="00F05602"/>
    <w:rsid w:val="00FE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3E062B"/>
  <w15:docId w15:val="{7ABE472A-C5E1-1B47-9816-8E194501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PL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0D0BF9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21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210"/>
  </w:style>
  <w:style w:type="paragraph" w:styleId="Footer">
    <w:name w:val="footer"/>
    <w:basedOn w:val="Normal"/>
    <w:link w:val="FooterChar"/>
    <w:uiPriority w:val="99"/>
    <w:unhideWhenUsed/>
    <w:rsid w:val="009B421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210"/>
  </w:style>
  <w:style w:type="paragraph" w:styleId="NormalWeb">
    <w:name w:val="Normal (Web)"/>
    <w:basedOn w:val="Normal"/>
    <w:uiPriority w:val="99"/>
    <w:semiHidden/>
    <w:unhideWhenUsed/>
    <w:rsid w:val="009B421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1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1683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ossowska</cp:lastModifiedBy>
  <cp:revision>2</cp:revision>
  <dcterms:created xsi:type="dcterms:W3CDTF">2026-06-29T11:02:00Z</dcterms:created>
  <dcterms:modified xsi:type="dcterms:W3CDTF">2026-06-29T11:02:00Z</dcterms:modified>
</cp:coreProperties>
</file>