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8C0B76" w:rsidRPr="008C0B76" w14:paraId="5791EB13" w14:textId="77777777" w:rsidTr="00F47D26">
        <w:trPr>
          <w:trHeight w:hRule="exact" w:val="300"/>
        </w:trPr>
        <w:tc>
          <w:tcPr>
            <w:tcW w:w="8504" w:type="dxa"/>
          </w:tcPr>
          <w:p w14:paraId="119D389F" w14:textId="77777777" w:rsidR="008C0B76" w:rsidRPr="008D1132" w:rsidRDefault="00C31EFC" w:rsidP="008D1132">
            <w:pPr>
              <w:pStyle w:val="Intitul"/>
            </w:pPr>
            <w:proofErr w:type="spellStart"/>
            <w:r>
              <w:t>Informacja</w:t>
            </w:r>
            <w:proofErr w:type="spellEnd"/>
            <w:r>
              <w:t xml:space="preserve"> </w:t>
            </w:r>
            <w:proofErr w:type="spellStart"/>
            <w:r>
              <w:t>prasow</w:t>
            </w:r>
            <w:r w:rsidR="00CC7B62">
              <w:t>a</w:t>
            </w:r>
            <w:proofErr w:type="spellEnd"/>
          </w:p>
        </w:tc>
      </w:tr>
      <w:tr w:rsidR="008C0B76" w:rsidRPr="00FC3B6B" w14:paraId="1825377F" w14:textId="77777777" w:rsidTr="00F47D26">
        <w:trPr>
          <w:trHeight w:hRule="exact" w:val="300"/>
        </w:trPr>
        <w:tc>
          <w:tcPr>
            <w:tcW w:w="8504" w:type="dxa"/>
          </w:tcPr>
          <w:p w14:paraId="13F42467" w14:textId="73186A6D" w:rsidR="008C0B76" w:rsidRPr="00566892" w:rsidRDefault="00566892" w:rsidP="00F969B2">
            <w:pPr>
              <w:pStyle w:val="Datedudocument"/>
            </w:pPr>
            <w:r w:rsidRPr="00566892">
              <w:t>2</w:t>
            </w:r>
            <w:r w:rsidR="001E7DB4">
              <w:t>6</w:t>
            </w:r>
            <w:r w:rsidR="00FC3B6B" w:rsidRPr="00566892">
              <w:t>.06</w:t>
            </w:r>
            <w:r w:rsidR="00EB5D74" w:rsidRPr="00566892">
              <w:t>.</w:t>
            </w:r>
            <w:r w:rsidR="008C0B76" w:rsidRPr="00566892">
              <w:t>202</w:t>
            </w:r>
            <w:r w:rsidR="00F969B2" w:rsidRPr="00566892">
              <w:t>6</w:t>
            </w:r>
          </w:p>
        </w:tc>
      </w:tr>
      <w:tr w:rsidR="008C0B76" w:rsidRPr="008C0B76" w14:paraId="24A206CD" w14:textId="77777777" w:rsidTr="00F47D26">
        <w:trPr>
          <w:trHeight w:hRule="exact" w:val="851"/>
        </w:trPr>
        <w:tc>
          <w:tcPr>
            <w:tcW w:w="8504" w:type="dxa"/>
          </w:tcPr>
          <w:p w14:paraId="66CEBFD4" w14:textId="77777777" w:rsidR="008C0B76" w:rsidRPr="008C0B76" w:rsidRDefault="008C0B76" w:rsidP="008C0B76">
            <w:pPr>
              <w:jc w:val="right"/>
              <w:rPr>
                <w:color w:val="auto"/>
                <w:sz w:val="28"/>
                <w:szCs w:val="28"/>
              </w:rPr>
            </w:pPr>
          </w:p>
        </w:tc>
      </w:tr>
    </w:tbl>
    <w:p w14:paraId="76EBB7B1" w14:textId="77777777" w:rsidR="00F6260C" w:rsidRPr="00E65EF1" w:rsidRDefault="00FC3B6B" w:rsidP="00F6260C">
      <w:pPr>
        <w:pStyle w:val="Textedesaisie"/>
        <w:jc w:val="center"/>
        <w:rPr>
          <w:rFonts w:asciiTheme="majorHAnsi" w:eastAsiaTheme="majorEastAsia" w:hAnsiTheme="majorHAnsi" w:cstheme="majorBidi"/>
          <w:b/>
          <w:bCs/>
          <w:color w:val="2596BE"/>
          <w:sz w:val="36"/>
          <w:szCs w:val="36"/>
          <w:lang w:val="pl-PL"/>
        </w:rPr>
      </w:pPr>
      <w:r w:rsidRPr="00E65EF1">
        <w:rPr>
          <w:rFonts w:asciiTheme="majorHAnsi" w:eastAsiaTheme="majorEastAsia" w:hAnsiTheme="majorHAnsi" w:cstheme="majorBidi"/>
          <w:b/>
          <w:bCs/>
          <w:color w:val="2596BE"/>
          <w:sz w:val="36"/>
          <w:szCs w:val="36"/>
          <w:lang w:val="pl-PL"/>
        </w:rPr>
        <w:t xml:space="preserve">ENGIE finalizuje z </w:t>
      </w:r>
      <w:proofErr w:type="spellStart"/>
      <w:proofErr w:type="gramStart"/>
      <w:r w:rsidRPr="00E65EF1">
        <w:rPr>
          <w:rFonts w:asciiTheme="majorHAnsi" w:eastAsiaTheme="majorEastAsia" w:hAnsiTheme="majorHAnsi" w:cstheme="majorBidi"/>
          <w:b/>
          <w:bCs/>
          <w:color w:val="2596BE"/>
          <w:sz w:val="36"/>
          <w:szCs w:val="36"/>
          <w:lang w:val="pl-PL"/>
        </w:rPr>
        <w:t>R.Power</w:t>
      </w:r>
      <w:proofErr w:type="spellEnd"/>
      <w:proofErr w:type="gramEnd"/>
      <w:r w:rsidRPr="00E65EF1">
        <w:rPr>
          <w:rFonts w:asciiTheme="majorHAnsi" w:eastAsiaTheme="majorEastAsia" w:hAnsiTheme="majorHAnsi" w:cstheme="majorBidi"/>
          <w:b/>
          <w:bCs/>
          <w:color w:val="2596BE"/>
          <w:sz w:val="36"/>
          <w:szCs w:val="36"/>
          <w:lang w:val="pl-PL"/>
        </w:rPr>
        <w:t xml:space="preserve"> umowę na jeden z największych magazynów energii w kraju</w:t>
      </w:r>
    </w:p>
    <w:p w14:paraId="4BF2FD9B" w14:textId="77777777" w:rsidR="00FC3B6B" w:rsidRPr="00E65EF1" w:rsidRDefault="00FC3B6B" w:rsidP="00F6260C">
      <w:pPr>
        <w:pStyle w:val="Textedesaisie"/>
        <w:jc w:val="center"/>
        <w:rPr>
          <w:b/>
          <w:lang w:val="pl-PL"/>
        </w:rPr>
      </w:pPr>
    </w:p>
    <w:p w14:paraId="3255C2CA" w14:textId="0E2F0645" w:rsidR="00C87871" w:rsidRPr="00855784" w:rsidRDefault="000941D8" w:rsidP="00C87871">
      <w:pPr>
        <w:pStyle w:val="Textedesaisie"/>
        <w:rPr>
          <w:b/>
          <w:lang w:val="pl-PL"/>
        </w:rPr>
      </w:pPr>
      <w:r w:rsidRPr="00E65EF1">
        <w:rPr>
          <w:b/>
          <w:lang w:val="pl-PL"/>
        </w:rPr>
        <w:t>W czerwcu br. ENGIE Zielona Energia</w:t>
      </w:r>
      <w:r w:rsidR="00A15967">
        <w:rPr>
          <w:b/>
          <w:lang w:val="pl-PL"/>
        </w:rPr>
        <w:t xml:space="preserve">, z międzynarodowej Grupy ENGIE, działającej w obszarze niskoemisyjnej energii i usług </w:t>
      </w:r>
      <w:r w:rsidRPr="00E65EF1">
        <w:rPr>
          <w:b/>
          <w:lang w:val="pl-PL"/>
        </w:rPr>
        <w:t>nabyła spółkę celową rozwijającą jeden z największych projektów wielkoskalowych magazynów energii w Polsce. Zlokalizowana w Tursku Wielkim (</w:t>
      </w:r>
      <w:r w:rsidRPr="00855784">
        <w:rPr>
          <w:b/>
          <w:lang w:val="pl-PL"/>
        </w:rPr>
        <w:t xml:space="preserve">woj. świętokrzyskie) instalacja bateryjna o planowanej mocy 250 MW i pojemności 1000 MWh </w:t>
      </w:r>
      <w:r w:rsidR="00682DD3" w:rsidRPr="00855784">
        <w:rPr>
          <w:b/>
          <w:lang w:val="pl-PL"/>
        </w:rPr>
        <w:t>osiągnęła</w:t>
      </w:r>
      <w:r w:rsidRPr="00855784">
        <w:rPr>
          <w:b/>
          <w:lang w:val="pl-PL"/>
        </w:rPr>
        <w:t xml:space="preserve"> status gotowości do budowy (</w:t>
      </w:r>
      <w:proofErr w:type="spellStart"/>
      <w:r w:rsidRPr="00855784">
        <w:rPr>
          <w:b/>
          <w:lang w:val="pl-PL"/>
        </w:rPr>
        <w:t>ready</w:t>
      </w:r>
      <w:proofErr w:type="spellEnd"/>
      <w:r w:rsidRPr="00855784">
        <w:rPr>
          <w:b/>
          <w:lang w:val="pl-PL"/>
        </w:rPr>
        <w:t>-to-</w:t>
      </w:r>
      <w:proofErr w:type="spellStart"/>
      <w:r w:rsidRPr="00855784">
        <w:rPr>
          <w:b/>
          <w:lang w:val="pl-PL"/>
        </w:rPr>
        <w:t>build</w:t>
      </w:r>
      <w:proofErr w:type="spellEnd"/>
      <w:r w:rsidRPr="00855784">
        <w:rPr>
          <w:b/>
          <w:lang w:val="pl-PL"/>
        </w:rPr>
        <w:t xml:space="preserve">). Zgodnie z harmonogramem, rozpoczęcie prac budowlanych przewidywane jest na początek 2027 roku, a oddanie instalacji do eksploatacji na czwarty kwartał 2028 roku. W dobie dynamicznych zmian w </w:t>
      </w:r>
      <w:proofErr w:type="spellStart"/>
      <w:r w:rsidRPr="00855784">
        <w:rPr>
          <w:b/>
          <w:lang w:val="pl-PL"/>
        </w:rPr>
        <w:t>miksie</w:t>
      </w:r>
      <w:proofErr w:type="spellEnd"/>
      <w:r w:rsidRPr="00855784">
        <w:rPr>
          <w:b/>
          <w:lang w:val="pl-PL"/>
        </w:rPr>
        <w:t xml:space="preserve"> energetycznym, instalacja ta stanie się niezwykle istotnym buforem wspierającym stabilność Krajowego Systemu Elektroenergetycznego (KSE).</w:t>
      </w:r>
      <w:r w:rsidR="00C87871" w:rsidRPr="00855784">
        <w:rPr>
          <w:b/>
          <w:lang w:val="pl-PL"/>
        </w:rPr>
        <w:t xml:space="preserve"> Projekt stanowi istotny kamień milowy w realizacji długoterminowych ambicji rozwojowych ENGIE w Polsce oraz wzmacnia pozycję Grupy jako kluczowego uczestnika transformacji energetycznej kraju. Dzięki inwestycjom w odnawialne źródła energii oraz rozwiązania magazynowania energii, ENGIE nadal wspiera dekarbonizację i zwiększanie odporności polskiego systemu energetycznego.</w:t>
      </w:r>
    </w:p>
    <w:p w14:paraId="43F80A56" w14:textId="1F1EA00B" w:rsidR="007C37A0" w:rsidRPr="00855784" w:rsidRDefault="007C37A0" w:rsidP="00FC3B6B">
      <w:pPr>
        <w:pStyle w:val="Textedesaisie"/>
        <w:rPr>
          <w:b/>
          <w:lang w:val="pl-PL"/>
        </w:rPr>
      </w:pPr>
    </w:p>
    <w:p w14:paraId="1DB155B8" w14:textId="77777777" w:rsidR="000941D8" w:rsidRPr="00855784" w:rsidRDefault="000941D8" w:rsidP="00FC3B6B">
      <w:pPr>
        <w:pStyle w:val="Textedesaisie"/>
        <w:rPr>
          <w:b/>
          <w:lang w:val="pl-PL"/>
        </w:rPr>
      </w:pPr>
    </w:p>
    <w:p w14:paraId="37322A78" w14:textId="32531E4C" w:rsidR="007C37A0" w:rsidRPr="00855784" w:rsidRDefault="00FC3B6B" w:rsidP="00FC3B6B">
      <w:pPr>
        <w:pStyle w:val="Textedesaisie"/>
        <w:rPr>
          <w:b/>
          <w:lang w:val="pl-PL"/>
        </w:rPr>
      </w:pPr>
      <w:r w:rsidRPr="00855784">
        <w:rPr>
          <w:lang w:val="pl-PL"/>
        </w:rPr>
        <w:t xml:space="preserve">Projekt zlokalizowany w gminie Osiek, w powiecie staszowskim, był dotychczas rozwijany przez </w:t>
      </w:r>
      <w:proofErr w:type="spellStart"/>
      <w:proofErr w:type="gramStart"/>
      <w:r w:rsidRPr="00855784">
        <w:rPr>
          <w:lang w:val="pl-PL"/>
        </w:rPr>
        <w:t>R.Power</w:t>
      </w:r>
      <w:proofErr w:type="spellEnd"/>
      <w:proofErr w:type="gramEnd"/>
      <w:r w:rsidR="00682DD3" w:rsidRPr="00855784">
        <w:rPr>
          <w:lang w:val="pl-PL"/>
        </w:rPr>
        <w:t>, jednego z największych niezależnych producentów energii w Europie.</w:t>
      </w:r>
      <w:r w:rsidRPr="00855784">
        <w:rPr>
          <w:lang w:val="pl-PL"/>
        </w:rPr>
        <w:t xml:space="preserve"> Podpisana umowa to efekt partnerskiej współpracy i wspólnej wizji obu firm, zakładającej konieczność szybkiej rozbudowy aktywów wspierających elastyczność polskiej sieci.</w:t>
      </w:r>
    </w:p>
    <w:p w14:paraId="1A940108" w14:textId="77777777" w:rsidR="007C37A0" w:rsidRPr="00855784" w:rsidRDefault="007C37A0" w:rsidP="00FC3B6B">
      <w:pPr>
        <w:pStyle w:val="Textedesaisie"/>
        <w:rPr>
          <w:lang w:val="pl-PL"/>
        </w:rPr>
      </w:pPr>
    </w:p>
    <w:p w14:paraId="3AF855AA" w14:textId="77777777" w:rsidR="00FC3B6B" w:rsidRPr="00855784" w:rsidRDefault="00FC3B6B" w:rsidP="00FC3B6B">
      <w:pPr>
        <w:pStyle w:val="Textedesaisie"/>
        <w:rPr>
          <w:lang w:val="pl-PL"/>
        </w:rPr>
      </w:pPr>
      <w:r w:rsidRPr="00855784">
        <w:rPr>
          <w:lang w:val="pl-PL"/>
        </w:rPr>
        <w:t>O strategicznym znaczeniu projektu decyduje w dużej mierze jego umiejscowienie. Magazyn zostanie podłączony bezpośrednio do stacji elektroenergetycznej Połaniec. Węzeł ten odgrywa fundamentalną rolę w architekturze przesyłowej południowo-wschodniej Polski. Obecność wielkoskalowej instalacji bateryjnej w tak istotnym punkcie sieciowym pozwoli na efektywne zarządzanie przepływami mocy oraz realnie odciąży infrastrukturę przesyłową w regionie.</w:t>
      </w:r>
    </w:p>
    <w:p w14:paraId="63FB38B7" w14:textId="77777777" w:rsidR="00FC3B6B" w:rsidRPr="00855784" w:rsidRDefault="00FC3B6B" w:rsidP="00FC3B6B">
      <w:pPr>
        <w:pStyle w:val="Textedesaisie"/>
        <w:rPr>
          <w:lang w:val="pl-PL"/>
        </w:rPr>
      </w:pPr>
    </w:p>
    <w:p w14:paraId="37BBBC24" w14:textId="77777777" w:rsidR="00FC3B6B" w:rsidRPr="00855784" w:rsidRDefault="00FC3B6B" w:rsidP="00FC3B6B">
      <w:pPr>
        <w:pStyle w:val="Textedesaisie"/>
        <w:rPr>
          <w:b/>
          <w:lang w:val="pl-PL"/>
        </w:rPr>
      </w:pPr>
      <w:r w:rsidRPr="00855784">
        <w:rPr>
          <w:b/>
          <w:lang w:val="pl-PL"/>
        </w:rPr>
        <w:t>Odpowiedź na strukturalne wyzwania KSE</w:t>
      </w:r>
    </w:p>
    <w:p w14:paraId="382D8DFD" w14:textId="77777777" w:rsidR="00FC3B6B" w:rsidRPr="00855784" w:rsidRDefault="00FC3B6B" w:rsidP="00FC3B6B">
      <w:pPr>
        <w:pStyle w:val="Textedesaisie"/>
        <w:rPr>
          <w:b/>
          <w:lang w:val="pl-PL"/>
        </w:rPr>
      </w:pPr>
    </w:p>
    <w:p w14:paraId="46AD05BE" w14:textId="37347813" w:rsidR="00FC3B6B" w:rsidRPr="00855784" w:rsidRDefault="00FC3B6B" w:rsidP="00FC3B6B">
      <w:pPr>
        <w:pStyle w:val="Textedesaisie"/>
        <w:rPr>
          <w:lang w:val="pl-PL"/>
        </w:rPr>
      </w:pPr>
      <w:r w:rsidRPr="00855784">
        <w:rPr>
          <w:lang w:val="pl-PL"/>
        </w:rPr>
        <w:t xml:space="preserve">Konsekwentne zaangażowanie ENGIE w rozwój wielkoskalowych magazynów w Polsce to bezpośrednia reakcja na trwającą transformację struktury wytwarzania. Dynamiczny przyrost mocy w </w:t>
      </w:r>
      <w:r w:rsidR="000941D8" w:rsidRPr="00855784">
        <w:rPr>
          <w:lang w:val="pl-PL"/>
        </w:rPr>
        <w:t>źródłach niesterowalnych (</w:t>
      </w:r>
      <w:r w:rsidR="007142DC" w:rsidRPr="00855784">
        <w:rPr>
          <w:lang w:val="pl-PL"/>
        </w:rPr>
        <w:t>OZE</w:t>
      </w:r>
      <w:r w:rsidR="000941D8" w:rsidRPr="00855784">
        <w:rPr>
          <w:lang w:val="pl-PL"/>
        </w:rPr>
        <w:t xml:space="preserve"> -</w:t>
      </w:r>
      <w:r w:rsidRPr="00855784">
        <w:rPr>
          <w:lang w:val="pl-PL"/>
        </w:rPr>
        <w:t xml:space="preserve"> </w:t>
      </w:r>
      <w:proofErr w:type="spellStart"/>
      <w:r w:rsidRPr="00855784">
        <w:rPr>
          <w:lang w:val="pl-PL"/>
        </w:rPr>
        <w:t>fotowoltaika</w:t>
      </w:r>
      <w:proofErr w:type="spellEnd"/>
      <w:r w:rsidRPr="00855784">
        <w:rPr>
          <w:lang w:val="pl-PL"/>
        </w:rPr>
        <w:t xml:space="preserve"> i energetyka wiatrowa) sprawia, że priorytetem dla operatora systemu przesyłowego staje się bilansowanie podaży i popytu w czasie rzeczywistym.</w:t>
      </w:r>
    </w:p>
    <w:p w14:paraId="76C213E6" w14:textId="77777777" w:rsidR="00FC3B6B" w:rsidRPr="00855784" w:rsidRDefault="00FC3B6B" w:rsidP="00FC3B6B">
      <w:pPr>
        <w:pStyle w:val="Textedesaisie"/>
        <w:rPr>
          <w:lang w:val="pl-PL"/>
        </w:rPr>
      </w:pPr>
    </w:p>
    <w:p w14:paraId="0E826282" w14:textId="7A355D00" w:rsidR="00FC3B6B" w:rsidRPr="00855784" w:rsidRDefault="000941D8" w:rsidP="00FC3B6B">
      <w:pPr>
        <w:pStyle w:val="Textedesaisie"/>
        <w:rPr>
          <w:lang w:val="pl-PL"/>
        </w:rPr>
      </w:pPr>
      <w:r w:rsidRPr="00855784">
        <w:rPr>
          <w:lang w:val="pl-PL"/>
        </w:rPr>
        <w:t xml:space="preserve">Obecnie polski system regularnie mierzy się ze zjawiskiem nadpodaży generacji z OZE, co skutkuje koniecznością stosowania nierynkowych redukcji mocy. Wielkoskalowe magazyny bateryjne (BESS - Battery Energy Storage Systems) są głównym, technologicznym remedium na to zjawisko. Projekt w Tursku Wielkim pozwoli przede wszystkim na efektywny arbitraż czasowy - </w:t>
      </w:r>
      <w:r w:rsidR="00F35C39" w:rsidRPr="00855784">
        <w:rPr>
          <w:lang w:val="pl-PL"/>
        </w:rPr>
        <w:t>pobieranie</w:t>
      </w:r>
      <w:r w:rsidRPr="00855784">
        <w:rPr>
          <w:lang w:val="pl-PL"/>
        </w:rPr>
        <w:t xml:space="preserve"> nadwyżek energii w okresach szczytowej generacji i oddawanie jej do sieci w godzinach najwyższego zapotrzebowania.</w:t>
      </w:r>
    </w:p>
    <w:p w14:paraId="3B09C3C2" w14:textId="77777777" w:rsidR="000941D8" w:rsidRPr="00855784" w:rsidRDefault="000941D8" w:rsidP="00FC3B6B">
      <w:pPr>
        <w:pStyle w:val="Textedesaisie"/>
        <w:rPr>
          <w:lang w:val="pl-PL"/>
        </w:rPr>
      </w:pPr>
    </w:p>
    <w:p w14:paraId="00A7BB9A" w14:textId="77777777" w:rsidR="00FC3B6B" w:rsidRPr="00855784" w:rsidRDefault="00077FC6" w:rsidP="00FC3B6B">
      <w:pPr>
        <w:pStyle w:val="Textedesaisie"/>
        <w:rPr>
          <w:lang w:val="pl-PL"/>
        </w:rPr>
      </w:pPr>
      <w:r w:rsidRPr="00855784">
        <w:rPr>
          <w:lang w:val="pl-PL"/>
        </w:rPr>
        <w:t>Zgodnie ze strategicznymi planami rozwoju Polskich Sieci Elektroenergetycznych, zapewnienie ciągłości i bezpieczeństwa dostaw w nadchodzących latach wymaga skokowego zwiększenia dostępnych na rynku mocy regulacyjnych. Biorąc pod uwagę skalę tych wyzwań, proje</w:t>
      </w:r>
      <w:r w:rsidR="00412F8C" w:rsidRPr="00855784">
        <w:rPr>
          <w:lang w:val="pl-PL"/>
        </w:rPr>
        <w:t xml:space="preserve">kt w Tursku Wielkim, oferujący </w:t>
      </w:r>
      <w:r w:rsidRPr="00855784">
        <w:rPr>
          <w:lang w:val="pl-PL"/>
        </w:rPr>
        <w:t>pojemność 1000 MWh, dysponuje potencjałem, by stać się niezwykle istotnym elementem budowy nowoczesnego i bezpiecznego zaplecza dla polskiej energetyki.</w:t>
      </w:r>
    </w:p>
    <w:p w14:paraId="3DD4B96B" w14:textId="77777777" w:rsidR="00077FC6" w:rsidRPr="00855784" w:rsidRDefault="00077FC6" w:rsidP="00FC3B6B">
      <w:pPr>
        <w:pStyle w:val="Textedesaisie"/>
        <w:rPr>
          <w:lang w:val="pl-PL"/>
        </w:rPr>
      </w:pPr>
    </w:p>
    <w:p w14:paraId="24DA19BD" w14:textId="77777777" w:rsidR="00FC3B6B" w:rsidRPr="00855784" w:rsidRDefault="00FC3B6B" w:rsidP="00FC3B6B">
      <w:pPr>
        <w:pStyle w:val="Textedesaisie"/>
        <w:rPr>
          <w:b/>
          <w:lang w:val="pl-PL"/>
        </w:rPr>
      </w:pPr>
      <w:r w:rsidRPr="00855784">
        <w:rPr>
          <w:lang w:val="pl-PL"/>
        </w:rPr>
        <w:t xml:space="preserve">- </w:t>
      </w:r>
      <w:r w:rsidRPr="00855784">
        <w:rPr>
          <w:i/>
          <w:lang w:val="pl-PL"/>
        </w:rPr>
        <w:t>Włączenie projektu w Tursku Wielkim do naszego portfolio to naturalny krok w długoterminowej strategii obecności ENGIE na polskim rynku. Patrzymy na transformację energetyczną holistycznie. Dziś sama rozbudowa mocy wytwórczych OZE może być niewystarczająca. Konieczne jest równoległe tworzenie infrastruktury, która pozwoli tę zieloną energię bezpiecznie zintegrować z KSE. Wielkoskalowe magazyny energii to fundament dla budowy elastycznego systemu. Inwestycja ta pozwoli nam w przyszłości na jeszcze sprawniejsze zarządzanie naszymi własnymi aktywami wytwórczymi oraz portfelem handlowym, a zarazem dostarczy operatorowi realne narzędzia do stabilizacji sieci</w:t>
      </w:r>
      <w:r w:rsidRPr="00855784">
        <w:rPr>
          <w:lang w:val="pl-PL"/>
        </w:rPr>
        <w:t xml:space="preserve"> - podkreśla </w:t>
      </w:r>
      <w:r w:rsidRPr="00855784">
        <w:rPr>
          <w:b/>
          <w:lang w:val="pl-PL"/>
        </w:rPr>
        <w:t>Piotr Rogóż, Country Manager ENGIE Polska.</w:t>
      </w:r>
    </w:p>
    <w:p w14:paraId="156CB68E" w14:textId="77777777" w:rsidR="003C647A" w:rsidRPr="00855784" w:rsidRDefault="003C647A" w:rsidP="00FC3B6B">
      <w:pPr>
        <w:pStyle w:val="Textedesaisie"/>
        <w:rPr>
          <w:b/>
          <w:lang w:val="pl-PL"/>
        </w:rPr>
      </w:pPr>
    </w:p>
    <w:p w14:paraId="280DDBE6" w14:textId="39BE271F" w:rsidR="006F6387" w:rsidRPr="00855784" w:rsidRDefault="006F6387" w:rsidP="006F6387">
      <w:pPr>
        <w:pStyle w:val="Textedesaisie"/>
        <w:rPr>
          <w:b/>
          <w:i/>
          <w:iCs/>
          <w:lang w:val="pl-PL"/>
        </w:rPr>
      </w:pPr>
      <w:r w:rsidRPr="00855784">
        <w:rPr>
          <w:b/>
          <w:lang w:val="pl-PL"/>
        </w:rPr>
        <w:t xml:space="preserve">Jak </w:t>
      </w:r>
      <w:r w:rsidR="00682DD3" w:rsidRPr="00855784">
        <w:rPr>
          <w:b/>
          <w:lang w:val="pl-PL"/>
        </w:rPr>
        <w:t>podkreśla</w:t>
      </w:r>
      <w:r w:rsidRPr="00855784">
        <w:rPr>
          <w:b/>
          <w:bCs/>
          <w:lang w:val="pl-PL"/>
        </w:rPr>
        <w:t xml:space="preserve"> Klaudiusz Kalisz, członek zarządu </w:t>
      </w:r>
      <w:proofErr w:type="gramStart"/>
      <w:r w:rsidRPr="00855784">
        <w:rPr>
          <w:b/>
          <w:bCs/>
          <w:lang w:val="pl-PL"/>
        </w:rPr>
        <w:t>R.Power</w:t>
      </w:r>
      <w:proofErr w:type="gramEnd"/>
      <w:r w:rsidRPr="00855784">
        <w:rPr>
          <w:b/>
          <w:bCs/>
          <w:lang w:val="pl-PL"/>
        </w:rPr>
        <w:t xml:space="preserve">: </w:t>
      </w:r>
      <w:r w:rsidRPr="00855784">
        <w:rPr>
          <w:b/>
          <w:i/>
          <w:iCs/>
          <w:lang w:val="pl-PL"/>
        </w:rPr>
        <w:t>„</w:t>
      </w:r>
      <w:r w:rsidR="00CF7123" w:rsidRPr="00855784">
        <w:rPr>
          <w:bCs/>
          <w:i/>
          <w:iCs/>
          <w:lang w:val="pl-PL"/>
        </w:rPr>
        <w:t xml:space="preserve">Dysponując jednym z największych w Europie portfeli wielkoskalowych projektów magazynów energii, z przyjemnością przekazujemy ten flagowy projekt tak doświadczonemu partnerowi jak ENGIE. Dzięki kompleksowemu przygotowaniu projektu przez zespół </w:t>
      </w:r>
      <w:proofErr w:type="gramStart"/>
      <w:r w:rsidR="00CF7123" w:rsidRPr="00855784">
        <w:rPr>
          <w:bCs/>
          <w:i/>
          <w:iCs/>
          <w:lang w:val="pl-PL"/>
        </w:rPr>
        <w:t>R.Power</w:t>
      </w:r>
      <w:proofErr w:type="gramEnd"/>
      <w:r w:rsidR="00CF7123" w:rsidRPr="00855784">
        <w:rPr>
          <w:bCs/>
          <w:i/>
          <w:iCs/>
          <w:lang w:val="pl-PL"/>
        </w:rPr>
        <w:t xml:space="preserve">, projekt Tursko Wielkie jest gotowy do wejścia w fazę przygotowania do budowy. Umowa zawarta przez </w:t>
      </w:r>
      <w:proofErr w:type="spellStart"/>
      <w:proofErr w:type="gramStart"/>
      <w:r w:rsidR="00CF7123" w:rsidRPr="00855784">
        <w:rPr>
          <w:bCs/>
          <w:i/>
          <w:iCs/>
          <w:lang w:val="pl-PL"/>
        </w:rPr>
        <w:t>R.Power</w:t>
      </w:r>
      <w:proofErr w:type="spellEnd"/>
      <w:proofErr w:type="gramEnd"/>
      <w:r w:rsidR="00CF7123" w:rsidRPr="00855784">
        <w:rPr>
          <w:bCs/>
          <w:i/>
          <w:iCs/>
          <w:lang w:val="pl-PL"/>
        </w:rPr>
        <w:t xml:space="preserve"> i ENGIE odzwierciedla wspólną wizję i ambicje obu podmiotów w zakresie transformacji energetycznej i znaczenia wielkoskalowych magazynów energii w budowie niskoemisyjnego i elastycznego systemu elektroenergetycznego w Polsce</w:t>
      </w:r>
      <w:r w:rsidRPr="00855784">
        <w:rPr>
          <w:bCs/>
          <w:i/>
          <w:iCs/>
          <w:lang w:val="pl-PL"/>
        </w:rPr>
        <w:t>.</w:t>
      </w:r>
      <w:r w:rsidRPr="00855784">
        <w:rPr>
          <w:b/>
          <w:i/>
          <w:iCs/>
          <w:lang w:val="pl-PL"/>
        </w:rPr>
        <w:t>”</w:t>
      </w:r>
    </w:p>
    <w:p w14:paraId="1480DF3A" w14:textId="77777777" w:rsidR="003C647A" w:rsidRPr="00855784" w:rsidRDefault="003C647A" w:rsidP="00FC3B6B">
      <w:pPr>
        <w:pStyle w:val="Textedesaisie"/>
        <w:rPr>
          <w:b/>
          <w:lang w:val="pl-PL"/>
        </w:rPr>
      </w:pPr>
    </w:p>
    <w:p w14:paraId="5E1A1AC2" w14:textId="77777777" w:rsidR="00412F8C" w:rsidRPr="00855784" w:rsidRDefault="00412F8C" w:rsidP="00FC3B6B">
      <w:pPr>
        <w:pStyle w:val="Textedesaisie"/>
        <w:rPr>
          <w:b/>
          <w:lang w:val="pl-PL"/>
        </w:rPr>
      </w:pPr>
    </w:p>
    <w:p w14:paraId="2A818009" w14:textId="77777777" w:rsidR="00FC3B6B" w:rsidRPr="00855784" w:rsidRDefault="00FC3B6B" w:rsidP="00FC3B6B">
      <w:pPr>
        <w:pStyle w:val="Textedesaisie"/>
        <w:rPr>
          <w:b/>
          <w:lang w:val="pl-PL"/>
        </w:rPr>
      </w:pPr>
      <w:r w:rsidRPr="00855784">
        <w:rPr>
          <w:b/>
          <w:lang w:val="pl-PL"/>
        </w:rPr>
        <w:t>Gotowość do fazy konstrukcyjnej</w:t>
      </w:r>
    </w:p>
    <w:p w14:paraId="4519A0E7" w14:textId="77777777" w:rsidR="00FC3B6B" w:rsidRPr="00855784" w:rsidRDefault="00FC3B6B" w:rsidP="00FC3B6B">
      <w:pPr>
        <w:pStyle w:val="Textedesaisie"/>
        <w:rPr>
          <w:lang w:val="pl-PL"/>
        </w:rPr>
      </w:pPr>
    </w:p>
    <w:p w14:paraId="033E8A46" w14:textId="4EEF9E1D" w:rsidR="0035376D" w:rsidRPr="00E65EF1" w:rsidRDefault="0035376D" w:rsidP="0035376D">
      <w:pPr>
        <w:pStyle w:val="Textedesaisie"/>
        <w:rPr>
          <w:lang w:val="pl-PL"/>
        </w:rPr>
      </w:pPr>
      <w:r w:rsidRPr="00855784">
        <w:rPr>
          <w:lang w:val="pl-PL"/>
        </w:rPr>
        <w:t xml:space="preserve">Dla projektu w Tursku Wielkim zabezpieczono już warunki przyłączeniowe i finalizowane są ostatnie decyzje administracyjno-środowiskowe. Osiągnięcie etapu </w:t>
      </w:r>
      <w:proofErr w:type="spellStart"/>
      <w:r w:rsidRPr="00855784">
        <w:rPr>
          <w:lang w:val="pl-PL"/>
        </w:rPr>
        <w:t>ready</w:t>
      </w:r>
      <w:proofErr w:type="spellEnd"/>
      <w:r w:rsidRPr="00855784">
        <w:rPr>
          <w:lang w:val="pl-PL"/>
        </w:rPr>
        <w:t>-to-</w:t>
      </w:r>
      <w:proofErr w:type="spellStart"/>
      <w:r w:rsidRPr="00855784">
        <w:rPr>
          <w:lang w:val="pl-PL"/>
        </w:rPr>
        <w:t>build</w:t>
      </w:r>
      <w:proofErr w:type="spellEnd"/>
      <w:r w:rsidRPr="00855784">
        <w:rPr>
          <w:lang w:val="pl-PL"/>
        </w:rPr>
        <w:t xml:space="preserve"> pozwala ENGIE na płynne przejście do fazy przygotowań konstrukcyjnych. Inwestycja ta stanowi</w:t>
      </w:r>
      <w:r w:rsidRPr="00E65EF1">
        <w:rPr>
          <w:lang w:val="pl-PL"/>
        </w:rPr>
        <w:t xml:space="preserve"> ważny element strategii spółki, polegającej na budowie nowoczesnego i elastycznego zaplecza wspierającego polski system elektroenergetyczny.</w:t>
      </w:r>
    </w:p>
    <w:p w14:paraId="114B566E" w14:textId="77777777" w:rsidR="00FC3B6B" w:rsidRDefault="00FC3B6B" w:rsidP="00FC3B6B">
      <w:pPr>
        <w:pStyle w:val="Textedesaisie"/>
        <w:rPr>
          <w:color w:val="auto"/>
          <w:lang w:val="pl-PL"/>
        </w:rPr>
      </w:pPr>
    </w:p>
    <w:p w14:paraId="123F79E1" w14:textId="77777777" w:rsidR="00817193" w:rsidRPr="00CC7B62" w:rsidRDefault="00817193" w:rsidP="00817193">
      <w:pPr>
        <w:pStyle w:val="Textedesaisie"/>
        <w:rPr>
          <w:rStyle w:val="Bold"/>
          <w:rFonts w:cstheme="minorBidi"/>
          <w:b w:val="0"/>
          <w:color w:val="auto"/>
          <w:lang w:val="pl-PL" w:eastAsia="en-US"/>
        </w:rPr>
      </w:pPr>
      <w:r w:rsidRPr="00B23431">
        <w:rPr>
          <w:rStyle w:val="Bold"/>
          <w:lang w:val="pl-PL"/>
        </w:rPr>
        <w:t>O ENGIE Polska</w:t>
      </w:r>
    </w:p>
    <w:p w14:paraId="283374E5" w14:textId="77777777" w:rsidR="00817193" w:rsidRPr="00B23431" w:rsidRDefault="00817193" w:rsidP="00817193">
      <w:pPr>
        <w:pStyle w:val="Texteapropos"/>
        <w:rPr>
          <w:lang w:val="pl-PL"/>
        </w:rPr>
      </w:pPr>
    </w:p>
    <w:p w14:paraId="59184BF5" w14:textId="77777777" w:rsidR="00817193" w:rsidRDefault="00817193" w:rsidP="00817193">
      <w:pPr>
        <w:pStyle w:val="Textedesaisie"/>
        <w:rPr>
          <w:color w:val="auto"/>
          <w:lang w:val="pl-PL"/>
        </w:rPr>
      </w:pPr>
      <w:r w:rsidRPr="00230BD9">
        <w:rPr>
          <w:color w:val="auto"/>
          <w:lang w:val="pl-PL"/>
        </w:rPr>
        <w:t xml:space="preserve">ENGIE jest kluczowym graczem w transformacji energetycznej, której celem jest przyspieszenie przejścia na gospodarkę neutralną pod względem emisji dwutlenku węgla. Zatrudniając ponad 90 000 pracowników w 30 krajach, Grupa obejmuje cały łańcuch wartości energii, od produkcji po infrastrukturę i sprzedaż. ENGIE łączy działania uzupełniające się: produkcję energii odnawialnej i ekologicznego gazu, aktywa elastyczności (zwłaszcza baterie), sieci </w:t>
      </w:r>
      <w:proofErr w:type="spellStart"/>
      <w:r w:rsidRPr="00230BD9">
        <w:rPr>
          <w:color w:val="auto"/>
          <w:lang w:val="pl-PL"/>
        </w:rPr>
        <w:t>przesyłu</w:t>
      </w:r>
      <w:proofErr w:type="spellEnd"/>
      <w:r w:rsidRPr="00230BD9">
        <w:rPr>
          <w:color w:val="auto"/>
          <w:lang w:val="pl-PL"/>
        </w:rPr>
        <w:t xml:space="preserve"> i dystrybucji gazu i energii elektrycznej, lokalną infrastrukturę energetyczną (sieci grzewcze i chłodnicze) oraz dostawy energii do osób prywatnych, władz lokalnych i przedsiębiorstw. Każdego roku ENGIE inwestuje średnio 12 mld euro, aby przyspieszyć transformację energetyczną i osiągnąć cel zerowej emisji dwutlenku węgla netto do 2045 r. Obroty w 2025 r.: 71,9 mld euro. Grupa jest notowana na giełdach w Paryżu i Brukseli (ENGI) i jest reprezentowana w głównych indeksach finansowych (CAC 40, </w:t>
      </w:r>
      <w:proofErr w:type="spellStart"/>
      <w:r w:rsidRPr="00230BD9">
        <w:rPr>
          <w:color w:val="auto"/>
          <w:lang w:val="pl-PL"/>
        </w:rPr>
        <w:t>Euronext</w:t>
      </w:r>
      <w:proofErr w:type="spellEnd"/>
      <w:r w:rsidRPr="00230BD9">
        <w:rPr>
          <w:color w:val="auto"/>
          <w:lang w:val="pl-PL"/>
        </w:rPr>
        <w:t xml:space="preserve"> 100, FTSE Euro 100, MSCI Europe) oraz indeksach niefinansowych (DJSI World, </w:t>
      </w:r>
      <w:proofErr w:type="spellStart"/>
      <w:r w:rsidRPr="00230BD9">
        <w:rPr>
          <w:color w:val="auto"/>
          <w:lang w:val="pl-PL"/>
        </w:rPr>
        <w:t>Euronext</w:t>
      </w:r>
      <w:proofErr w:type="spellEnd"/>
      <w:r w:rsidRPr="00230BD9">
        <w:rPr>
          <w:color w:val="auto"/>
          <w:lang w:val="pl-PL"/>
        </w:rPr>
        <w:t xml:space="preserve"> </w:t>
      </w:r>
      <w:proofErr w:type="spellStart"/>
      <w:r w:rsidRPr="00230BD9">
        <w:rPr>
          <w:color w:val="auto"/>
          <w:lang w:val="pl-PL"/>
        </w:rPr>
        <w:t>Vigeo</w:t>
      </w:r>
      <w:proofErr w:type="spellEnd"/>
      <w:r w:rsidRPr="00230BD9">
        <w:rPr>
          <w:color w:val="auto"/>
          <w:lang w:val="pl-PL"/>
        </w:rPr>
        <w:t xml:space="preserve"> </w:t>
      </w:r>
      <w:proofErr w:type="spellStart"/>
      <w:r w:rsidRPr="00230BD9">
        <w:rPr>
          <w:color w:val="auto"/>
          <w:lang w:val="pl-PL"/>
        </w:rPr>
        <w:t>Eiris</w:t>
      </w:r>
      <w:proofErr w:type="spellEnd"/>
      <w:r w:rsidRPr="00230BD9">
        <w:rPr>
          <w:color w:val="auto"/>
          <w:lang w:val="pl-PL"/>
        </w:rPr>
        <w:t xml:space="preserve"> - Europe 120 / France 20, MSCI EMU ESG </w:t>
      </w:r>
      <w:proofErr w:type="spellStart"/>
      <w:r w:rsidRPr="00230BD9">
        <w:rPr>
          <w:color w:val="auto"/>
          <w:lang w:val="pl-PL"/>
        </w:rPr>
        <w:t>screened</w:t>
      </w:r>
      <w:proofErr w:type="spellEnd"/>
      <w:r w:rsidRPr="00230BD9">
        <w:rPr>
          <w:color w:val="auto"/>
          <w:lang w:val="pl-PL"/>
        </w:rPr>
        <w:t xml:space="preserve">, MSCI EUROPE ESG Universal Select, </w:t>
      </w:r>
      <w:proofErr w:type="spellStart"/>
      <w:r w:rsidRPr="00230BD9">
        <w:rPr>
          <w:color w:val="auto"/>
          <w:lang w:val="pl-PL"/>
        </w:rPr>
        <w:t>Stoxx</w:t>
      </w:r>
      <w:proofErr w:type="spellEnd"/>
      <w:r w:rsidRPr="00230BD9">
        <w:rPr>
          <w:color w:val="auto"/>
          <w:lang w:val="pl-PL"/>
        </w:rPr>
        <w:t xml:space="preserve"> Europe 600 ESG-X).</w:t>
      </w:r>
    </w:p>
    <w:p w14:paraId="1426DCE2" w14:textId="77777777" w:rsidR="00C44254" w:rsidRDefault="00C44254" w:rsidP="00817193">
      <w:pPr>
        <w:pStyle w:val="Textedesaisie"/>
        <w:rPr>
          <w:color w:val="auto"/>
          <w:lang w:val="pl-PL"/>
        </w:rPr>
      </w:pPr>
    </w:p>
    <w:p w14:paraId="31F48CA4" w14:textId="77777777" w:rsidR="00FC3B6B" w:rsidRDefault="00FC3B6B" w:rsidP="00CC7B62">
      <w:pPr>
        <w:pStyle w:val="Textedesaisie"/>
        <w:rPr>
          <w:rFonts w:ascii="Calibri" w:hAnsi="Calibri" w:cs="Calibri"/>
          <w:color w:val="auto"/>
          <w:lang w:val="pl-PL"/>
        </w:rPr>
      </w:pPr>
    </w:p>
    <w:p w14:paraId="473A6922" w14:textId="77777777" w:rsidR="00855784" w:rsidRDefault="00855784" w:rsidP="00CC7B62">
      <w:pPr>
        <w:pStyle w:val="Textedesaisie"/>
        <w:rPr>
          <w:rFonts w:ascii="Calibri" w:hAnsi="Calibri" w:cs="Calibri"/>
          <w:color w:val="auto"/>
          <w:lang w:val="pl-PL"/>
        </w:rPr>
      </w:pPr>
    </w:p>
    <w:p w14:paraId="00E32213" w14:textId="77777777" w:rsidR="00855784" w:rsidRDefault="00855784" w:rsidP="00CC7B62">
      <w:pPr>
        <w:pStyle w:val="Textedesaisie"/>
        <w:rPr>
          <w:rFonts w:ascii="Calibri" w:hAnsi="Calibri" w:cs="Calibri"/>
          <w:color w:val="auto"/>
          <w:lang w:val="pl-PL"/>
        </w:rPr>
      </w:pPr>
    </w:p>
    <w:p w14:paraId="015A4D80" w14:textId="77777777" w:rsidR="00855784" w:rsidRDefault="00855784" w:rsidP="00CC7B62">
      <w:pPr>
        <w:pStyle w:val="Textedesaisie"/>
        <w:rPr>
          <w:rFonts w:ascii="Calibri" w:hAnsi="Calibri" w:cs="Calibri"/>
          <w:color w:val="auto"/>
          <w:lang w:val="pl-PL"/>
        </w:rPr>
      </w:pPr>
    </w:p>
    <w:tbl>
      <w:tblPr>
        <w:tblStyle w:val="Tabela-Siatka"/>
        <w:tblpPr w:leftFromText="141" w:rightFromText="141" w:vertAnchor="text" w:horzAnchor="margin" w:tblpY="-41"/>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2"/>
      </w:tblGrid>
      <w:tr w:rsidR="001E7DB4" w:rsidRPr="00F35C39" w14:paraId="0B5ADBE9" w14:textId="77777777" w:rsidTr="001E7DB4">
        <w:tc>
          <w:tcPr>
            <w:tcW w:w="4252" w:type="dxa"/>
          </w:tcPr>
          <w:p w14:paraId="37CF1EF1" w14:textId="77777777" w:rsidR="001E7DB4" w:rsidRPr="001A1C14" w:rsidRDefault="001E7DB4" w:rsidP="001E7DB4">
            <w:pPr>
              <w:pStyle w:val="Textecontact"/>
              <w:rPr>
                <w:rStyle w:val="Bold"/>
                <w:rFonts w:ascii="Calibri" w:hAnsi="Calibri" w:cs="Calibri"/>
                <w:lang w:val="pl-PL"/>
              </w:rPr>
            </w:pPr>
            <w:r w:rsidRPr="001A1C14">
              <w:rPr>
                <w:rStyle w:val="Bold"/>
                <w:rFonts w:ascii="Calibri" w:hAnsi="Calibri" w:cs="Calibri"/>
                <w:lang w:val="pl-PL"/>
              </w:rPr>
              <w:lastRenderedPageBreak/>
              <w:t>Kontakt dla mediów:</w:t>
            </w:r>
          </w:p>
          <w:p w14:paraId="1FE2E2C9" w14:textId="77777777" w:rsidR="001E7DB4" w:rsidRPr="00486946" w:rsidRDefault="001E7DB4" w:rsidP="001E7DB4">
            <w:pPr>
              <w:pStyle w:val="Textecontact"/>
              <w:rPr>
                <w:rFonts w:ascii="Calibri" w:hAnsi="Calibri" w:cs="Calibri"/>
                <w:lang w:val="pl-PL"/>
              </w:rPr>
            </w:pPr>
            <w:r w:rsidRPr="00486946">
              <w:rPr>
                <w:rFonts w:ascii="Calibri" w:hAnsi="Calibri" w:cs="Calibri"/>
                <w:bCs/>
                <w:lang w:val="pl-PL"/>
              </w:rPr>
              <w:t>Magdalena Jaromińska</w:t>
            </w:r>
          </w:p>
          <w:p w14:paraId="5E230DB0" w14:textId="77777777" w:rsidR="001E7DB4" w:rsidRPr="00486946" w:rsidRDefault="001E7DB4" w:rsidP="001E7DB4">
            <w:pPr>
              <w:pStyle w:val="Textecontact"/>
              <w:rPr>
                <w:rFonts w:ascii="Calibri" w:hAnsi="Calibri" w:cs="Calibri"/>
                <w:lang w:val="pl-PL"/>
              </w:rPr>
            </w:pPr>
            <w:r w:rsidRPr="00486946">
              <w:rPr>
                <w:rFonts w:ascii="Calibri" w:hAnsi="Calibri" w:cs="Calibri"/>
                <w:lang w:val="pl-PL"/>
              </w:rPr>
              <w:t xml:space="preserve">Chief Communications </w:t>
            </w:r>
            <w:proofErr w:type="spellStart"/>
            <w:r w:rsidRPr="00486946">
              <w:rPr>
                <w:rFonts w:ascii="Calibri" w:hAnsi="Calibri" w:cs="Calibri"/>
                <w:lang w:val="pl-PL"/>
              </w:rPr>
              <w:t>Officer</w:t>
            </w:r>
            <w:proofErr w:type="spellEnd"/>
          </w:p>
          <w:p w14:paraId="01D0FC85" w14:textId="77777777" w:rsidR="001E7DB4" w:rsidRPr="00486946" w:rsidRDefault="001E7DB4" w:rsidP="001E7DB4">
            <w:pPr>
              <w:pStyle w:val="Textecontact"/>
              <w:rPr>
                <w:rFonts w:ascii="Calibri" w:hAnsi="Calibri" w:cs="Calibri"/>
                <w:lang w:val="pl-PL"/>
              </w:rPr>
            </w:pPr>
            <w:r w:rsidRPr="00486946">
              <w:rPr>
                <w:rFonts w:ascii="Calibri" w:hAnsi="Calibri" w:cs="Calibri"/>
                <w:lang w:val="pl-PL"/>
              </w:rPr>
              <w:t>M: +48 604 299 672</w:t>
            </w:r>
            <w:r w:rsidRPr="00486946">
              <w:rPr>
                <w:rFonts w:ascii="Calibri" w:hAnsi="Calibri" w:cs="Calibri"/>
                <w:lang w:val="pl-PL"/>
              </w:rPr>
              <w:br/>
            </w:r>
            <w:hyperlink r:id="rId12" w:tgtFrame="_blank" w:history="1">
              <w:r w:rsidRPr="00486946">
                <w:rPr>
                  <w:rStyle w:val="Hipercze"/>
                  <w:rFonts w:ascii="Calibri" w:hAnsi="Calibri" w:cs="Calibri"/>
                  <w:lang w:val="pl-PL"/>
                </w:rPr>
                <w:t>magdalena.jarominska@engie.com</w:t>
              </w:r>
            </w:hyperlink>
          </w:p>
          <w:p w14:paraId="49743D27" w14:textId="77777777" w:rsidR="001E7DB4" w:rsidRPr="00F35C39" w:rsidRDefault="001E7DB4" w:rsidP="001E7DB4">
            <w:pPr>
              <w:pStyle w:val="Textecontact"/>
              <w:rPr>
                <w:rFonts w:ascii="Calibri" w:hAnsi="Calibri" w:cs="Calibri"/>
                <w:lang w:val="pl-PL"/>
              </w:rPr>
            </w:pPr>
          </w:p>
        </w:tc>
      </w:tr>
    </w:tbl>
    <w:p w14:paraId="6E5C9A5B" w14:textId="77777777" w:rsidR="001E7DB4" w:rsidRDefault="001E7DB4" w:rsidP="00855784">
      <w:pPr>
        <w:pStyle w:val="Textedesaisie"/>
        <w:rPr>
          <w:rFonts w:cstheme="minorHAnsi"/>
          <w:b/>
          <w:bCs/>
          <w:color w:val="auto"/>
          <w:lang w:val="pl-PL"/>
        </w:rPr>
      </w:pPr>
    </w:p>
    <w:p w14:paraId="51FE216E" w14:textId="77777777" w:rsidR="001E7DB4" w:rsidRDefault="001E7DB4" w:rsidP="00855784">
      <w:pPr>
        <w:pStyle w:val="Textedesaisie"/>
        <w:rPr>
          <w:rFonts w:cstheme="minorHAnsi"/>
          <w:b/>
          <w:bCs/>
          <w:color w:val="auto"/>
          <w:lang w:val="pl-PL"/>
        </w:rPr>
      </w:pPr>
    </w:p>
    <w:p w14:paraId="6CC0DADE" w14:textId="77777777" w:rsidR="001E7DB4" w:rsidRDefault="001E7DB4" w:rsidP="00855784">
      <w:pPr>
        <w:pStyle w:val="Textedesaisie"/>
        <w:rPr>
          <w:rFonts w:cstheme="minorHAnsi"/>
          <w:b/>
          <w:bCs/>
          <w:color w:val="auto"/>
          <w:lang w:val="pl-PL"/>
        </w:rPr>
      </w:pPr>
    </w:p>
    <w:p w14:paraId="40FEB723" w14:textId="77777777" w:rsidR="001E7DB4" w:rsidRDefault="001E7DB4" w:rsidP="00855784">
      <w:pPr>
        <w:pStyle w:val="Textedesaisie"/>
        <w:rPr>
          <w:rFonts w:cstheme="minorHAnsi"/>
          <w:b/>
          <w:bCs/>
          <w:color w:val="auto"/>
          <w:lang w:val="pl-PL"/>
        </w:rPr>
      </w:pPr>
    </w:p>
    <w:p w14:paraId="3BFEFB8C" w14:textId="77777777" w:rsidR="001E7DB4" w:rsidRDefault="001E7DB4" w:rsidP="00855784">
      <w:pPr>
        <w:pStyle w:val="Textedesaisie"/>
        <w:rPr>
          <w:rFonts w:cstheme="minorHAnsi"/>
          <w:b/>
          <w:bCs/>
          <w:color w:val="auto"/>
          <w:lang w:val="pl-PL"/>
        </w:rPr>
      </w:pPr>
    </w:p>
    <w:p w14:paraId="196EF298" w14:textId="77777777" w:rsidR="001E7DB4" w:rsidRDefault="001E7DB4" w:rsidP="00855784">
      <w:pPr>
        <w:pStyle w:val="Textedesaisie"/>
        <w:rPr>
          <w:rFonts w:cstheme="minorHAnsi"/>
          <w:b/>
          <w:bCs/>
          <w:color w:val="auto"/>
          <w:lang w:val="pl-PL"/>
        </w:rPr>
      </w:pPr>
    </w:p>
    <w:p w14:paraId="29EFB235" w14:textId="77777777" w:rsidR="001E7DB4" w:rsidRDefault="001E7DB4" w:rsidP="00855784">
      <w:pPr>
        <w:pStyle w:val="Textedesaisie"/>
        <w:rPr>
          <w:rFonts w:cstheme="minorHAnsi"/>
          <w:b/>
          <w:bCs/>
          <w:color w:val="auto"/>
          <w:lang w:val="pl-PL"/>
        </w:rPr>
      </w:pPr>
    </w:p>
    <w:p w14:paraId="055ACC54" w14:textId="505D64C5" w:rsidR="00855784" w:rsidRPr="00855784" w:rsidRDefault="00855784" w:rsidP="00855784">
      <w:pPr>
        <w:pStyle w:val="Textedesaisie"/>
        <w:rPr>
          <w:rFonts w:cstheme="minorHAnsi"/>
          <w:b/>
          <w:bCs/>
          <w:color w:val="auto"/>
          <w:lang w:val="pl-PL"/>
        </w:rPr>
      </w:pPr>
      <w:r w:rsidRPr="00855784">
        <w:rPr>
          <w:rFonts w:cstheme="minorHAnsi"/>
          <w:b/>
          <w:bCs/>
          <w:color w:val="auto"/>
          <w:lang w:val="pl-PL"/>
        </w:rPr>
        <w:t xml:space="preserve">O </w:t>
      </w:r>
      <w:proofErr w:type="spellStart"/>
      <w:proofErr w:type="gramStart"/>
      <w:r w:rsidRPr="00855784">
        <w:rPr>
          <w:rFonts w:cstheme="minorHAnsi"/>
          <w:b/>
          <w:bCs/>
          <w:color w:val="auto"/>
          <w:lang w:val="pl-PL"/>
        </w:rPr>
        <w:t>R.Power</w:t>
      </w:r>
      <w:proofErr w:type="spellEnd"/>
      <w:proofErr w:type="gramEnd"/>
    </w:p>
    <w:p w14:paraId="22BC5B7F" w14:textId="77777777" w:rsidR="00855784" w:rsidRPr="00855784" w:rsidRDefault="00855784" w:rsidP="00855784">
      <w:pPr>
        <w:pStyle w:val="Textedesaisie"/>
        <w:rPr>
          <w:rFonts w:cstheme="minorHAnsi"/>
          <w:color w:val="auto"/>
          <w:lang w:val="pl-PL"/>
        </w:rPr>
      </w:pPr>
    </w:p>
    <w:p w14:paraId="5D3F2016" w14:textId="08743396" w:rsidR="00855784" w:rsidRDefault="00855784" w:rsidP="00855784">
      <w:pPr>
        <w:pStyle w:val="Textedesaisie"/>
        <w:rPr>
          <w:rFonts w:cstheme="minorHAnsi"/>
          <w:color w:val="auto"/>
          <w:lang w:val="pl-PL"/>
        </w:rPr>
      </w:pPr>
      <w:proofErr w:type="spellStart"/>
      <w:proofErr w:type="gramStart"/>
      <w:r w:rsidRPr="00855784">
        <w:rPr>
          <w:rFonts w:cstheme="minorHAnsi"/>
          <w:color w:val="auto"/>
          <w:lang w:val="pl-PL"/>
        </w:rPr>
        <w:t>R.Power</w:t>
      </w:r>
      <w:proofErr w:type="spellEnd"/>
      <w:proofErr w:type="gramEnd"/>
      <w:r w:rsidRPr="00855784">
        <w:rPr>
          <w:rFonts w:cstheme="minorHAnsi"/>
          <w:color w:val="auto"/>
          <w:lang w:val="pl-PL"/>
        </w:rPr>
        <w:t xml:space="preserve"> jest niezależnym producentem energii (Independent Power Producer, IPP) działającym na wielu europejskich rynkach. Spółka prowadzi działalność w całym łańcuchu wartości – od pozyskania lokalizacji i rozwoju projektów, przez budowę, po komercjalizację i długoterminową eksploatację aktywów.</w:t>
      </w:r>
      <w:r>
        <w:rPr>
          <w:rFonts w:cstheme="minorHAnsi"/>
          <w:color w:val="auto"/>
          <w:lang w:val="pl-PL"/>
        </w:rPr>
        <w:t xml:space="preserve"> </w:t>
      </w:r>
      <w:r w:rsidRPr="00855784">
        <w:rPr>
          <w:rFonts w:cstheme="minorHAnsi"/>
          <w:color w:val="auto"/>
          <w:lang w:val="pl-PL"/>
        </w:rPr>
        <w:t xml:space="preserve">Założona w 2010 roku i mająca siedzibę w Warszawie, spółka </w:t>
      </w:r>
      <w:proofErr w:type="spellStart"/>
      <w:proofErr w:type="gramStart"/>
      <w:r w:rsidRPr="00855784">
        <w:rPr>
          <w:rFonts w:cstheme="minorHAnsi"/>
          <w:color w:val="auto"/>
          <w:lang w:val="pl-PL"/>
        </w:rPr>
        <w:t>R.Power</w:t>
      </w:r>
      <w:proofErr w:type="spellEnd"/>
      <w:proofErr w:type="gramEnd"/>
      <w:r w:rsidRPr="00855784">
        <w:rPr>
          <w:rFonts w:cstheme="minorHAnsi"/>
          <w:color w:val="auto"/>
          <w:lang w:val="pl-PL"/>
        </w:rPr>
        <w:t xml:space="preserve"> jest dziś jednym z największych niezależnych producentów energii w Europie, posiadającym 1,4 GW projektów operacyjnych lub w budowie.</w:t>
      </w:r>
      <w:r>
        <w:rPr>
          <w:rFonts w:cstheme="minorHAnsi"/>
          <w:color w:val="auto"/>
          <w:lang w:val="pl-PL"/>
        </w:rPr>
        <w:t xml:space="preserve"> </w:t>
      </w:r>
      <w:r w:rsidRPr="00855784">
        <w:rPr>
          <w:rFonts w:cstheme="minorHAnsi"/>
          <w:color w:val="auto"/>
          <w:lang w:val="pl-PL"/>
        </w:rPr>
        <w:t xml:space="preserve">Strategia wzrostu </w:t>
      </w:r>
      <w:proofErr w:type="spellStart"/>
      <w:proofErr w:type="gramStart"/>
      <w:r w:rsidRPr="00855784">
        <w:rPr>
          <w:rFonts w:cstheme="minorHAnsi"/>
          <w:color w:val="auto"/>
          <w:lang w:val="pl-PL"/>
        </w:rPr>
        <w:t>R.Power</w:t>
      </w:r>
      <w:proofErr w:type="spellEnd"/>
      <w:proofErr w:type="gramEnd"/>
      <w:r w:rsidRPr="00855784">
        <w:rPr>
          <w:rFonts w:cstheme="minorHAnsi"/>
          <w:color w:val="auto"/>
          <w:lang w:val="pl-PL"/>
        </w:rPr>
        <w:t xml:space="preserve"> w Europie koncentruje się na rozbudowie portfela zaawansowanych projektów magazynowania energii (Battery Energy Storage System, BESS), zarówno samodzielnych, jak i hybrydowych.</w:t>
      </w:r>
      <w:r>
        <w:rPr>
          <w:rFonts w:cstheme="minorHAnsi"/>
          <w:color w:val="auto"/>
          <w:lang w:val="pl-PL"/>
        </w:rPr>
        <w:t xml:space="preserve"> </w:t>
      </w:r>
      <w:r w:rsidRPr="00855784">
        <w:rPr>
          <w:rFonts w:cstheme="minorHAnsi"/>
          <w:color w:val="auto"/>
          <w:lang w:val="pl-PL"/>
        </w:rPr>
        <w:t>Spółka posiada ponad 10 GW zdywersyfikowanych technologicznie projektów z zabezpieczonym dostępem do sieci na sześciu kluczowych europejskich rynkach – w Polsce, Rumunii, Niemczech, Włoszech, Portugalii i Hiszpanii.</w:t>
      </w:r>
      <w:r>
        <w:rPr>
          <w:rFonts w:cstheme="minorHAnsi"/>
          <w:color w:val="auto"/>
          <w:lang w:val="pl-PL"/>
        </w:rPr>
        <w:t xml:space="preserve"> </w:t>
      </w:r>
      <w:r w:rsidRPr="00855784">
        <w:rPr>
          <w:rFonts w:cstheme="minorHAnsi"/>
          <w:color w:val="auto"/>
          <w:lang w:val="pl-PL"/>
        </w:rPr>
        <w:t xml:space="preserve">Strategicznymi partnerami kapitałowymi Grupy </w:t>
      </w:r>
      <w:proofErr w:type="spellStart"/>
      <w:proofErr w:type="gramStart"/>
      <w:r w:rsidRPr="00855784">
        <w:rPr>
          <w:rFonts w:cstheme="minorHAnsi"/>
          <w:color w:val="auto"/>
          <w:lang w:val="pl-PL"/>
        </w:rPr>
        <w:t>R.Power</w:t>
      </w:r>
      <w:proofErr w:type="spellEnd"/>
      <w:proofErr w:type="gramEnd"/>
      <w:r w:rsidRPr="00855784">
        <w:rPr>
          <w:rFonts w:cstheme="minorHAnsi"/>
          <w:color w:val="auto"/>
          <w:lang w:val="pl-PL"/>
        </w:rPr>
        <w:t xml:space="preserve"> są Europejski Bank Odbudowy i Rozwoju oraz Three </w:t>
      </w:r>
      <w:proofErr w:type="spellStart"/>
      <w:r w:rsidRPr="00855784">
        <w:rPr>
          <w:rFonts w:cstheme="minorHAnsi"/>
          <w:color w:val="auto"/>
          <w:lang w:val="pl-PL"/>
        </w:rPr>
        <w:t>Seas</w:t>
      </w:r>
      <w:proofErr w:type="spellEnd"/>
      <w:r w:rsidRPr="00855784">
        <w:rPr>
          <w:rFonts w:cstheme="minorHAnsi"/>
          <w:color w:val="auto"/>
          <w:lang w:val="pl-PL"/>
        </w:rPr>
        <w:t xml:space="preserve"> </w:t>
      </w:r>
      <w:proofErr w:type="spellStart"/>
      <w:r w:rsidRPr="00855784">
        <w:rPr>
          <w:rFonts w:cstheme="minorHAnsi"/>
          <w:color w:val="auto"/>
          <w:lang w:val="pl-PL"/>
        </w:rPr>
        <w:t>Initiative</w:t>
      </w:r>
      <w:proofErr w:type="spellEnd"/>
      <w:r w:rsidRPr="00855784">
        <w:rPr>
          <w:rFonts w:cstheme="minorHAnsi"/>
          <w:color w:val="auto"/>
          <w:lang w:val="pl-PL"/>
        </w:rPr>
        <w:t xml:space="preserve"> Investment Fund (3SIIF), którego wyłącznym doradcą inwestycyjnym jest </w:t>
      </w:r>
      <w:proofErr w:type="spellStart"/>
      <w:r w:rsidRPr="00855784">
        <w:rPr>
          <w:rFonts w:cstheme="minorHAnsi"/>
          <w:color w:val="auto"/>
          <w:lang w:val="pl-PL"/>
        </w:rPr>
        <w:t>Amber</w:t>
      </w:r>
      <w:proofErr w:type="spellEnd"/>
      <w:r w:rsidRPr="00855784">
        <w:rPr>
          <w:rFonts w:cstheme="minorHAnsi"/>
          <w:color w:val="auto"/>
          <w:lang w:val="pl-PL"/>
        </w:rPr>
        <w:t xml:space="preserve"> </w:t>
      </w:r>
      <w:proofErr w:type="spellStart"/>
      <w:r w:rsidRPr="00855784">
        <w:rPr>
          <w:rFonts w:cstheme="minorHAnsi"/>
          <w:color w:val="auto"/>
          <w:lang w:val="pl-PL"/>
        </w:rPr>
        <w:t>Infrastructure</w:t>
      </w:r>
      <w:proofErr w:type="spellEnd"/>
      <w:r w:rsidRPr="00855784">
        <w:rPr>
          <w:rFonts w:cstheme="minorHAnsi"/>
          <w:color w:val="auto"/>
          <w:lang w:val="pl-PL"/>
        </w:rPr>
        <w:t>.</w:t>
      </w:r>
    </w:p>
    <w:p w14:paraId="6AE09CC2" w14:textId="77777777" w:rsidR="00855784" w:rsidRDefault="00855784" w:rsidP="00855784">
      <w:pPr>
        <w:pStyle w:val="Textedesaisie"/>
        <w:rPr>
          <w:rFonts w:cstheme="minorHAnsi"/>
          <w:color w:val="auto"/>
          <w:lang w:val="pl-PL"/>
        </w:rPr>
      </w:pPr>
    </w:p>
    <w:p w14:paraId="56F2E9CA" w14:textId="77777777" w:rsidR="00855784" w:rsidRPr="00855784" w:rsidRDefault="00855784" w:rsidP="00855784">
      <w:pPr>
        <w:pStyle w:val="Textedesaisie"/>
        <w:rPr>
          <w:rFonts w:cstheme="minorHAnsi"/>
          <w:color w:val="auto"/>
          <w:lang w:val="pl-PL"/>
        </w:rPr>
      </w:pPr>
    </w:p>
    <w:p w14:paraId="530DEC3D" w14:textId="77777777" w:rsidR="00F92ECA" w:rsidRPr="00F35C39" w:rsidRDefault="00F92ECA" w:rsidP="00CC7B62">
      <w:pPr>
        <w:pStyle w:val="Textedesaisie"/>
        <w:rPr>
          <w:color w:val="auto"/>
          <w:lang w:val="pl-PL"/>
        </w:rPr>
      </w:pPr>
    </w:p>
    <w:sectPr w:rsidR="00F92ECA" w:rsidRPr="00F35C39" w:rsidSect="00BA6623">
      <w:headerReference w:type="default" r:id="rId13"/>
      <w:footerReference w:type="default" r:id="rId14"/>
      <w:headerReference w:type="first" r:id="rId15"/>
      <w:type w:val="continuous"/>
      <w:pgSz w:w="11906" w:h="16838" w:code="9"/>
      <w:pgMar w:top="851" w:right="1701" w:bottom="851"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FFDE" w14:textId="77777777" w:rsidR="0014363B" w:rsidRDefault="0014363B" w:rsidP="003865B7">
      <w:r>
        <w:separator/>
      </w:r>
    </w:p>
  </w:endnote>
  <w:endnote w:type="continuationSeparator" w:id="0">
    <w:p w14:paraId="2DD15929" w14:textId="77777777" w:rsidR="0014363B" w:rsidRDefault="0014363B" w:rsidP="0038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lack">
    <w:charset w:val="00"/>
    <w:family w:val="auto"/>
    <w:pitch w:val="variable"/>
    <w:sig w:usb0="A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180"/>
      <w:gridCol w:w="540"/>
      <w:gridCol w:w="584"/>
    </w:tblGrid>
    <w:tr w:rsidR="005E1E84" w14:paraId="1FEA5DD1" w14:textId="77777777" w:rsidTr="00B63ACD">
      <w:trPr>
        <w:trHeight w:hRule="exact" w:val="142"/>
      </w:trPr>
      <w:tc>
        <w:tcPr>
          <w:tcW w:w="7920" w:type="dxa"/>
          <w:gridSpan w:val="3"/>
          <w:tcBorders>
            <w:bottom w:val="single" w:sz="4" w:space="0" w:color="00817D" w:themeColor="accent3"/>
          </w:tcBorders>
          <w:vAlign w:val="bottom"/>
        </w:tcPr>
        <w:p w14:paraId="36762A9A" w14:textId="77777777" w:rsidR="005E1E84" w:rsidRPr="00585399" w:rsidRDefault="005E1E84" w:rsidP="00585399">
          <w:pPr>
            <w:pStyle w:val="Stopka"/>
            <w:jc w:val="right"/>
            <w:rPr>
              <w:sz w:val="18"/>
              <w:szCs w:val="18"/>
            </w:rPr>
          </w:pPr>
        </w:p>
      </w:tc>
      <w:tc>
        <w:tcPr>
          <w:tcW w:w="584" w:type="dxa"/>
          <w:vMerge w:val="restart"/>
          <w:vAlign w:val="center"/>
        </w:tcPr>
        <w:p w14:paraId="6E4D20A5" w14:textId="77777777" w:rsidR="005E1E84" w:rsidRPr="00585399" w:rsidRDefault="005E1E84" w:rsidP="000A1580">
          <w:pPr>
            <w:pStyle w:val="Stopka"/>
            <w:jc w:val="right"/>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35376D">
            <w:rPr>
              <w:noProof/>
              <w:sz w:val="18"/>
              <w:szCs w:val="18"/>
            </w:rPr>
            <w:t>2</w:t>
          </w:r>
          <w:r>
            <w:rPr>
              <w:sz w:val="18"/>
              <w:szCs w:val="18"/>
            </w:rPr>
            <w:fldChar w:fldCharType="end"/>
          </w:r>
        </w:p>
      </w:tc>
    </w:tr>
    <w:tr w:rsidR="005E1E84" w14:paraId="36484069" w14:textId="77777777" w:rsidTr="00B63ACD">
      <w:trPr>
        <w:trHeight w:hRule="exact" w:val="142"/>
      </w:trPr>
      <w:tc>
        <w:tcPr>
          <w:tcW w:w="7920" w:type="dxa"/>
          <w:gridSpan w:val="3"/>
          <w:tcBorders>
            <w:top w:val="single" w:sz="4" w:space="0" w:color="00817D" w:themeColor="accent3"/>
          </w:tcBorders>
          <w:vAlign w:val="bottom"/>
        </w:tcPr>
        <w:p w14:paraId="7D1DE8C6" w14:textId="77777777" w:rsidR="005E1E84" w:rsidRPr="00585399" w:rsidRDefault="005E1E84" w:rsidP="00585399">
          <w:pPr>
            <w:pStyle w:val="Stopka"/>
            <w:jc w:val="right"/>
            <w:rPr>
              <w:sz w:val="18"/>
              <w:szCs w:val="18"/>
            </w:rPr>
          </w:pPr>
        </w:p>
      </w:tc>
      <w:tc>
        <w:tcPr>
          <w:tcW w:w="584" w:type="dxa"/>
          <w:vMerge/>
          <w:vAlign w:val="bottom"/>
        </w:tcPr>
        <w:p w14:paraId="7F77E990" w14:textId="77777777" w:rsidR="005E1E84" w:rsidRPr="00585399" w:rsidRDefault="005E1E84" w:rsidP="00585399">
          <w:pPr>
            <w:pStyle w:val="Stopka"/>
            <w:jc w:val="right"/>
            <w:rPr>
              <w:sz w:val="18"/>
              <w:szCs w:val="18"/>
            </w:rPr>
          </w:pPr>
        </w:p>
      </w:tc>
    </w:tr>
    <w:tr w:rsidR="005E1E84" w14:paraId="4F8F06F8" w14:textId="77777777" w:rsidTr="0046543F">
      <w:tc>
        <w:tcPr>
          <w:tcW w:w="7200" w:type="dxa"/>
          <w:vAlign w:val="bottom"/>
        </w:tcPr>
        <w:p w14:paraId="0CDBC2CE" w14:textId="77777777" w:rsidR="005E1E84" w:rsidRPr="0046543F" w:rsidRDefault="005E1E84" w:rsidP="0046543F">
          <w:pPr>
            <w:pStyle w:val="Adressepieddepage"/>
            <w:rPr>
              <w:color w:val="84A0AF"/>
            </w:rPr>
          </w:pPr>
          <w:r w:rsidRPr="0046543F">
            <w:rPr>
              <w:color w:val="84A0AF"/>
            </w:rPr>
            <w:t xml:space="preserve">Tour T1 – 1 place Samuel de Champlain – Faubourg de l’Arche - 92930 Paris La Défense cedex – France </w:t>
          </w:r>
        </w:p>
        <w:p w14:paraId="65CD1753" w14:textId="77777777" w:rsidR="005E1E84" w:rsidRPr="00585399" w:rsidRDefault="005E1E84" w:rsidP="0046543F">
          <w:pPr>
            <w:pStyle w:val="Adressepieddepage"/>
          </w:pPr>
          <w:r w:rsidRPr="0046543F">
            <w:rPr>
              <w:color w:val="84A0AF"/>
            </w:rPr>
            <w:t>ENGIE – SA AU CAPITAL DE 2 435 285 011 EUROS – RCS NANTERRE 542 107 651 - Tél. : +33 (0)1 44 22 00 00</w:t>
          </w:r>
        </w:p>
      </w:tc>
      <w:tc>
        <w:tcPr>
          <w:tcW w:w="180" w:type="dxa"/>
          <w:vMerge w:val="restart"/>
        </w:tcPr>
        <w:p w14:paraId="0804B7BA" w14:textId="77777777" w:rsidR="005E1E84" w:rsidRDefault="005E1E84" w:rsidP="00585399">
          <w:pPr>
            <w:pStyle w:val="Stopka"/>
          </w:pPr>
        </w:p>
      </w:tc>
      <w:tc>
        <w:tcPr>
          <w:tcW w:w="1124" w:type="dxa"/>
          <w:gridSpan w:val="2"/>
          <w:vMerge w:val="restart"/>
          <w:vAlign w:val="bottom"/>
        </w:tcPr>
        <w:p w14:paraId="3809159D" w14:textId="77777777" w:rsidR="005E1E84" w:rsidRPr="00B63ACD" w:rsidRDefault="005E1E84" w:rsidP="00B63ACD">
          <w:pPr>
            <w:pStyle w:val="Texteadresseinternet"/>
          </w:pPr>
          <w:r w:rsidRPr="00B63ACD">
            <w:t>engie.com</w:t>
          </w:r>
        </w:p>
      </w:tc>
    </w:tr>
    <w:tr w:rsidR="005E1E84" w14:paraId="0C8F2BAB" w14:textId="77777777" w:rsidTr="0046543F">
      <w:trPr>
        <w:trHeight w:hRule="exact" w:val="85"/>
      </w:trPr>
      <w:tc>
        <w:tcPr>
          <w:tcW w:w="7200" w:type="dxa"/>
          <w:vAlign w:val="bottom"/>
        </w:tcPr>
        <w:p w14:paraId="3D0B3741" w14:textId="77777777" w:rsidR="005E1E84" w:rsidRPr="009705F1" w:rsidRDefault="005E1E84" w:rsidP="00585399">
          <w:pPr>
            <w:pStyle w:val="Stopka"/>
            <w:spacing w:line="180" w:lineRule="atLeast"/>
            <w:rPr>
              <w:sz w:val="14"/>
              <w:szCs w:val="14"/>
            </w:rPr>
          </w:pPr>
        </w:p>
      </w:tc>
      <w:tc>
        <w:tcPr>
          <w:tcW w:w="180" w:type="dxa"/>
          <w:vMerge/>
        </w:tcPr>
        <w:p w14:paraId="72538650" w14:textId="77777777" w:rsidR="005E1E84" w:rsidRDefault="005E1E84" w:rsidP="00585399">
          <w:pPr>
            <w:pStyle w:val="Stopka"/>
          </w:pPr>
        </w:p>
      </w:tc>
      <w:tc>
        <w:tcPr>
          <w:tcW w:w="1124" w:type="dxa"/>
          <w:gridSpan w:val="2"/>
          <w:vMerge/>
          <w:vAlign w:val="bottom"/>
        </w:tcPr>
        <w:p w14:paraId="095492C4" w14:textId="77777777" w:rsidR="005E1E84" w:rsidRPr="00585399" w:rsidRDefault="005E1E84" w:rsidP="00585399">
          <w:pPr>
            <w:pStyle w:val="Stopka"/>
            <w:jc w:val="right"/>
            <w:rPr>
              <w:sz w:val="18"/>
              <w:szCs w:val="18"/>
            </w:rPr>
          </w:pPr>
        </w:p>
      </w:tc>
    </w:tr>
  </w:tbl>
  <w:p w14:paraId="6B8AF704" w14:textId="77777777" w:rsidR="005E1E84" w:rsidRPr="00585399" w:rsidRDefault="005E1E84" w:rsidP="005853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DB59" w14:textId="77777777" w:rsidR="0014363B" w:rsidRDefault="0014363B" w:rsidP="003865B7">
      <w:r>
        <w:separator/>
      </w:r>
    </w:p>
  </w:footnote>
  <w:footnote w:type="continuationSeparator" w:id="0">
    <w:p w14:paraId="21920487" w14:textId="77777777" w:rsidR="0014363B" w:rsidRDefault="0014363B" w:rsidP="0038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E548" w14:textId="77777777" w:rsidR="005E1E84" w:rsidRDefault="005E1E84" w:rsidP="003C7C34">
    <w:pPr>
      <w:pStyle w:val="Nagwek"/>
    </w:pPr>
    <w:r>
      <w:rPr>
        <w:noProof/>
        <w:lang w:val="pl-PL" w:eastAsia="pl-PL"/>
      </w:rPr>
      <w:drawing>
        <wp:anchor distT="0" distB="0" distL="114300" distR="114300" simplePos="0" relativeHeight="251658240" behindDoc="0" locked="0" layoutInCell="1" allowOverlap="1" wp14:anchorId="2BC706CF" wp14:editId="0D5CEBB3">
          <wp:simplePos x="0" y="0"/>
          <wp:positionH relativeFrom="margin">
            <wp:align>center</wp:align>
          </wp:positionH>
          <wp:positionV relativeFrom="paragraph">
            <wp:posOffset>-102870</wp:posOffset>
          </wp:positionV>
          <wp:extent cx="2143125" cy="990600"/>
          <wp:effectExtent l="0" t="0" r="9525"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800x800px.png"/>
                  <pic:cNvPicPr/>
                </pic:nvPicPr>
                <pic:blipFill rotWithShape="1">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t="27731" b="26050"/>
                  <a:stretch/>
                </pic:blipFill>
                <pic:spPr bwMode="auto">
                  <a:xfrm>
                    <a:off x="0" y="0"/>
                    <a:ext cx="214312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E7CB2F" w14:textId="77777777" w:rsidR="005E1E84" w:rsidRPr="00A47F4D" w:rsidRDefault="005E1E84" w:rsidP="00A47F4D">
    <w:pPr>
      <w:pStyle w:val="Nagwek"/>
    </w:pPr>
  </w:p>
  <w:p w14:paraId="556A7D40" w14:textId="77777777" w:rsidR="005E1E84" w:rsidRPr="00A47F4D" w:rsidRDefault="005E1E84" w:rsidP="00A47F4D">
    <w:pPr>
      <w:pStyle w:val="Nagwek"/>
    </w:pPr>
  </w:p>
  <w:p w14:paraId="7153DC69" w14:textId="77777777" w:rsidR="005E1E84" w:rsidRPr="00A47F4D" w:rsidRDefault="005E1E84" w:rsidP="00A47F4D">
    <w:pPr>
      <w:pStyle w:val="Nagwek"/>
    </w:pPr>
  </w:p>
  <w:p w14:paraId="393B9205" w14:textId="77777777" w:rsidR="005E1E84" w:rsidRPr="00A47F4D" w:rsidRDefault="005E1E84" w:rsidP="00A47F4D">
    <w:pPr>
      <w:pStyle w:val="Nagwek"/>
    </w:pPr>
  </w:p>
  <w:p w14:paraId="3D5D969E" w14:textId="77777777" w:rsidR="005E1E84" w:rsidRPr="00A47F4D" w:rsidRDefault="005E1E84" w:rsidP="00A47F4D">
    <w:pPr>
      <w:pStyle w:val="Nagwek"/>
    </w:pPr>
  </w:p>
  <w:p w14:paraId="4A680C35" w14:textId="77777777" w:rsidR="005E1E84" w:rsidRPr="00A47F4D" w:rsidRDefault="005E1E84" w:rsidP="00FA024F">
    <w:pPr>
      <w:pStyle w:val="Nagwek"/>
      <w:spacing w:line="27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63A1" w14:textId="77777777" w:rsidR="005E1E84" w:rsidRDefault="005E1E84">
    <w:pPr>
      <w:pStyle w:val="Nagwek"/>
    </w:pPr>
  </w:p>
  <w:p w14:paraId="601FDC6C" w14:textId="77777777" w:rsidR="005E1E84" w:rsidRDefault="005E1E84">
    <w:pPr>
      <w:pStyle w:val="Nagwek"/>
    </w:pPr>
  </w:p>
  <w:p w14:paraId="4157F945" w14:textId="77777777" w:rsidR="005E1E84" w:rsidRDefault="005E1E84">
    <w:pPr>
      <w:pStyle w:val="Nagwek"/>
    </w:pPr>
  </w:p>
  <w:p w14:paraId="6702A454" w14:textId="77777777" w:rsidR="005E1E84" w:rsidRDefault="005E1E84">
    <w:pPr>
      <w:pStyle w:val="Nagwek"/>
    </w:pPr>
  </w:p>
  <w:p w14:paraId="6B6729AB" w14:textId="77777777" w:rsidR="005E1E84" w:rsidRDefault="005E1E84">
    <w:pPr>
      <w:pStyle w:val="Nagwek"/>
    </w:pPr>
  </w:p>
  <w:p w14:paraId="6FB66853" w14:textId="77777777" w:rsidR="005E1E84" w:rsidRDefault="005E1E84">
    <w:pPr>
      <w:pStyle w:val="Nagwek"/>
    </w:pPr>
  </w:p>
  <w:p w14:paraId="43CD24E0" w14:textId="77777777" w:rsidR="005E1E84" w:rsidRDefault="005E1E84">
    <w:pPr>
      <w:pStyle w:val="Nagwek"/>
    </w:pPr>
  </w:p>
  <w:p w14:paraId="300C6E6E" w14:textId="77777777" w:rsidR="005E1E84" w:rsidRPr="00F7646B" w:rsidRDefault="005E1E84" w:rsidP="00DB38D1">
    <w:pPr>
      <w:pStyle w:val="Nagwek"/>
      <w:spacing w:line="27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D4A9F"/>
    <w:multiLevelType w:val="hybridMultilevel"/>
    <w:tmpl w:val="F280B2FE"/>
    <w:lvl w:ilvl="0" w:tplc="237226DC">
      <w:start w:val="1"/>
      <w:numFmt w:val="bullet"/>
      <w:lvlText w:val="–"/>
      <w:lvlJc w:val="left"/>
      <w:pPr>
        <w:ind w:left="720" w:hanging="360"/>
      </w:pPr>
      <w:rPr>
        <w:rFonts w:ascii="Gotham Black" w:hAnsi="Gotham Black" w:hint="default"/>
        <w:caps w:val="0"/>
        <w:strike w:val="0"/>
        <w:dstrike w:val="0"/>
        <w:vanish w:val="0"/>
        <w:sz w:val="4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8C366D"/>
    <w:multiLevelType w:val="hybridMultilevel"/>
    <w:tmpl w:val="A08C9E06"/>
    <w:lvl w:ilvl="0" w:tplc="9DC629C2">
      <w:start w:val="1"/>
      <w:numFmt w:val="bullet"/>
      <w:lvlText w:val="–"/>
      <w:lvlJc w:val="left"/>
      <w:pPr>
        <w:ind w:left="720" w:hanging="360"/>
      </w:pPr>
      <w:rPr>
        <w:rFonts w:asciiTheme="majorHAnsi" w:hAnsiTheme="majorHAnsi" w:hint="default"/>
        <w:caps w:val="0"/>
        <w:strike w:val="0"/>
        <w:dstrike w:val="0"/>
        <w:vanish w:val="0"/>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8B5EF3"/>
    <w:multiLevelType w:val="hybridMultilevel"/>
    <w:tmpl w:val="D4DA5AFE"/>
    <w:lvl w:ilvl="0" w:tplc="7B62D2AC">
      <w:start w:val="1"/>
      <w:numFmt w:val="bullet"/>
      <w:lvlText w:val="–"/>
      <w:lvlJc w:val="left"/>
      <w:pPr>
        <w:ind w:left="720" w:hanging="360"/>
      </w:pPr>
      <w:rPr>
        <w:rFonts w:ascii="Gotham Black" w:hAnsi="Gotham Black"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B1460F"/>
    <w:multiLevelType w:val="hybridMultilevel"/>
    <w:tmpl w:val="D0F28BBC"/>
    <w:lvl w:ilvl="0" w:tplc="9FC28624">
      <w:start w:val="1"/>
      <w:numFmt w:val="bullet"/>
      <w:lvlText w:val="–"/>
      <w:lvlJc w:val="left"/>
      <w:pPr>
        <w:ind w:left="720" w:hanging="360"/>
      </w:pPr>
      <w:rPr>
        <w:rFonts w:ascii="Gotham Black" w:hAnsi="Gotham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A94287"/>
    <w:multiLevelType w:val="hybridMultilevel"/>
    <w:tmpl w:val="E8DCEFBA"/>
    <w:lvl w:ilvl="0" w:tplc="33CC7510">
      <w:start w:val="1"/>
      <w:numFmt w:val="bullet"/>
      <w:pStyle w:val="Textepuce"/>
      <w:lvlText w:val="–"/>
      <w:lvlJc w:val="left"/>
      <w:pPr>
        <w:ind w:left="700" w:hanging="360"/>
      </w:pPr>
      <w:rPr>
        <w:rFonts w:asciiTheme="majorHAnsi" w:hAnsiTheme="majorHAnsi" w:cs="Times New Roman" w:hint="default"/>
        <w:caps w:val="0"/>
        <w:strike w:val="0"/>
        <w:dstrike w:val="0"/>
        <w:vanish w:val="0"/>
        <w:color w:val="00AAFF" w:themeColor="accent2"/>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614724">
    <w:abstractNumId w:val="8"/>
  </w:num>
  <w:num w:numId="2" w16cid:durableId="1072968207">
    <w:abstractNumId w:val="3"/>
  </w:num>
  <w:num w:numId="3" w16cid:durableId="1507787369">
    <w:abstractNumId w:val="2"/>
  </w:num>
  <w:num w:numId="4" w16cid:durableId="125977570">
    <w:abstractNumId w:val="1"/>
  </w:num>
  <w:num w:numId="5" w16cid:durableId="163012852">
    <w:abstractNumId w:val="0"/>
  </w:num>
  <w:num w:numId="6" w16cid:durableId="159084629">
    <w:abstractNumId w:val="9"/>
  </w:num>
  <w:num w:numId="7" w16cid:durableId="765463275">
    <w:abstractNumId w:val="7"/>
  </w:num>
  <w:num w:numId="8" w16cid:durableId="2096314930">
    <w:abstractNumId w:val="6"/>
  </w:num>
  <w:num w:numId="9" w16cid:durableId="1051029255">
    <w:abstractNumId w:val="5"/>
  </w:num>
  <w:num w:numId="10" w16cid:durableId="1808468193">
    <w:abstractNumId w:val="4"/>
  </w:num>
  <w:num w:numId="11" w16cid:durableId="689574437">
    <w:abstractNumId w:val="13"/>
  </w:num>
  <w:num w:numId="12" w16cid:durableId="1065493513">
    <w:abstractNumId w:val="12"/>
  </w:num>
  <w:num w:numId="13" w16cid:durableId="104421569">
    <w:abstractNumId w:val="10"/>
  </w:num>
  <w:num w:numId="14" w16cid:durableId="188765821">
    <w:abstractNumId w:val="11"/>
  </w:num>
  <w:num w:numId="15" w16cid:durableId="12084465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62"/>
    <w:rsid w:val="00004D5E"/>
    <w:rsid w:val="000126F7"/>
    <w:rsid w:val="000145E6"/>
    <w:rsid w:val="00016461"/>
    <w:rsid w:val="00040852"/>
    <w:rsid w:val="0005751F"/>
    <w:rsid w:val="00077FC6"/>
    <w:rsid w:val="00081A29"/>
    <w:rsid w:val="000941D8"/>
    <w:rsid w:val="00096706"/>
    <w:rsid w:val="000A1580"/>
    <w:rsid w:val="000B6555"/>
    <w:rsid w:val="000C2302"/>
    <w:rsid w:val="000C711B"/>
    <w:rsid w:val="000F02A0"/>
    <w:rsid w:val="001064AF"/>
    <w:rsid w:val="001213BB"/>
    <w:rsid w:val="0014363B"/>
    <w:rsid w:val="0018517C"/>
    <w:rsid w:val="0019101F"/>
    <w:rsid w:val="0019435E"/>
    <w:rsid w:val="001960F0"/>
    <w:rsid w:val="001A0732"/>
    <w:rsid w:val="001C3672"/>
    <w:rsid w:val="001C5173"/>
    <w:rsid w:val="001E7DB4"/>
    <w:rsid w:val="001F5ED4"/>
    <w:rsid w:val="002019AB"/>
    <w:rsid w:val="002A45F9"/>
    <w:rsid w:val="002B5640"/>
    <w:rsid w:val="002C1445"/>
    <w:rsid w:val="002C4FD8"/>
    <w:rsid w:val="002D2268"/>
    <w:rsid w:val="002F7012"/>
    <w:rsid w:val="003076F7"/>
    <w:rsid w:val="003169FA"/>
    <w:rsid w:val="00317240"/>
    <w:rsid w:val="00320ABE"/>
    <w:rsid w:val="003424FF"/>
    <w:rsid w:val="0035376D"/>
    <w:rsid w:val="00353E47"/>
    <w:rsid w:val="003633EA"/>
    <w:rsid w:val="0036517B"/>
    <w:rsid w:val="00367F8A"/>
    <w:rsid w:val="00386092"/>
    <w:rsid w:val="003865B7"/>
    <w:rsid w:val="00396690"/>
    <w:rsid w:val="0039691D"/>
    <w:rsid w:val="003A52E0"/>
    <w:rsid w:val="003C1479"/>
    <w:rsid w:val="003C1BFA"/>
    <w:rsid w:val="003C25BD"/>
    <w:rsid w:val="003C647A"/>
    <w:rsid w:val="003C7C34"/>
    <w:rsid w:val="003E1D19"/>
    <w:rsid w:val="003E753E"/>
    <w:rsid w:val="00412F8C"/>
    <w:rsid w:val="00413DD2"/>
    <w:rsid w:val="004245BC"/>
    <w:rsid w:val="00431335"/>
    <w:rsid w:val="00437DE9"/>
    <w:rsid w:val="0046543F"/>
    <w:rsid w:val="00471F4E"/>
    <w:rsid w:val="004A5B61"/>
    <w:rsid w:val="004E5EE3"/>
    <w:rsid w:val="004F135C"/>
    <w:rsid w:val="004F5470"/>
    <w:rsid w:val="005232F9"/>
    <w:rsid w:val="00550AF2"/>
    <w:rsid w:val="00562B4F"/>
    <w:rsid w:val="00566892"/>
    <w:rsid w:val="00585399"/>
    <w:rsid w:val="005E1E84"/>
    <w:rsid w:val="00633F2B"/>
    <w:rsid w:val="0064724E"/>
    <w:rsid w:val="00682DD3"/>
    <w:rsid w:val="00693B48"/>
    <w:rsid w:val="006A395B"/>
    <w:rsid w:val="006F6387"/>
    <w:rsid w:val="00702726"/>
    <w:rsid w:val="00706E83"/>
    <w:rsid w:val="007142DC"/>
    <w:rsid w:val="00714945"/>
    <w:rsid w:val="007310D3"/>
    <w:rsid w:val="00735600"/>
    <w:rsid w:val="00736B6E"/>
    <w:rsid w:val="00747F71"/>
    <w:rsid w:val="0078427B"/>
    <w:rsid w:val="007A4D69"/>
    <w:rsid w:val="007C1613"/>
    <w:rsid w:val="007C37A0"/>
    <w:rsid w:val="007C4C11"/>
    <w:rsid w:val="00814DE8"/>
    <w:rsid w:val="00817193"/>
    <w:rsid w:val="00840603"/>
    <w:rsid w:val="0084231F"/>
    <w:rsid w:val="00851EAB"/>
    <w:rsid w:val="00855784"/>
    <w:rsid w:val="008C0B76"/>
    <w:rsid w:val="008C4671"/>
    <w:rsid w:val="008D1132"/>
    <w:rsid w:val="008D2D5E"/>
    <w:rsid w:val="00912DAB"/>
    <w:rsid w:val="00920AB2"/>
    <w:rsid w:val="00926547"/>
    <w:rsid w:val="009705F1"/>
    <w:rsid w:val="00971591"/>
    <w:rsid w:val="0097162D"/>
    <w:rsid w:val="00975F83"/>
    <w:rsid w:val="009764FA"/>
    <w:rsid w:val="00993B26"/>
    <w:rsid w:val="009C0146"/>
    <w:rsid w:val="00A15967"/>
    <w:rsid w:val="00A17125"/>
    <w:rsid w:val="00A26BA6"/>
    <w:rsid w:val="00A47F4D"/>
    <w:rsid w:val="00A63F44"/>
    <w:rsid w:val="00A70313"/>
    <w:rsid w:val="00A72D73"/>
    <w:rsid w:val="00A80E77"/>
    <w:rsid w:val="00AC78D1"/>
    <w:rsid w:val="00B2510E"/>
    <w:rsid w:val="00B63ACD"/>
    <w:rsid w:val="00B63B08"/>
    <w:rsid w:val="00B65D40"/>
    <w:rsid w:val="00B66E55"/>
    <w:rsid w:val="00B75B31"/>
    <w:rsid w:val="00B77598"/>
    <w:rsid w:val="00B84D3D"/>
    <w:rsid w:val="00B92074"/>
    <w:rsid w:val="00BA4C79"/>
    <w:rsid w:val="00BA6623"/>
    <w:rsid w:val="00BB3742"/>
    <w:rsid w:val="00C22F9E"/>
    <w:rsid w:val="00C23EDE"/>
    <w:rsid w:val="00C31EFC"/>
    <w:rsid w:val="00C44254"/>
    <w:rsid w:val="00C50A23"/>
    <w:rsid w:val="00C555E5"/>
    <w:rsid w:val="00C5716E"/>
    <w:rsid w:val="00C86EEF"/>
    <w:rsid w:val="00C87871"/>
    <w:rsid w:val="00CC7B62"/>
    <w:rsid w:val="00CF7123"/>
    <w:rsid w:val="00D04ECD"/>
    <w:rsid w:val="00D340DB"/>
    <w:rsid w:val="00D77BC7"/>
    <w:rsid w:val="00D828E7"/>
    <w:rsid w:val="00DB0CA2"/>
    <w:rsid w:val="00DB38D1"/>
    <w:rsid w:val="00DC29DB"/>
    <w:rsid w:val="00DD2712"/>
    <w:rsid w:val="00DE1589"/>
    <w:rsid w:val="00DE69E5"/>
    <w:rsid w:val="00DF4C32"/>
    <w:rsid w:val="00E2384F"/>
    <w:rsid w:val="00E34CFC"/>
    <w:rsid w:val="00E65EF1"/>
    <w:rsid w:val="00E97EF5"/>
    <w:rsid w:val="00EB5D74"/>
    <w:rsid w:val="00EB73C0"/>
    <w:rsid w:val="00EC319F"/>
    <w:rsid w:val="00ED3BC4"/>
    <w:rsid w:val="00F3331C"/>
    <w:rsid w:val="00F35C39"/>
    <w:rsid w:val="00F45E8D"/>
    <w:rsid w:val="00F47D26"/>
    <w:rsid w:val="00F51D4C"/>
    <w:rsid w:val="00F6260C"/>
    <w:rsid w:val="00F7646B"/>
    <w:rsid w:val="00F77E7E"/>
    <w:rsid w:val="00F80A72"/>
    <w:rsid w:val="00F92ECA"/>
    <w:rsid w:val="00F9319C"/>
    <w:rsid w:val="00F969B2"/>
    <w:rsid w:val="00FA024F"/>
    <w:rsid w:val="00FA5622"/>
    <w:rsid w:val="00FC3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C095"/>
  <w15:docId w15:val="{B038F019-60A3-4683-A1DD-D67CC6F0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ECA"/>
    <w:pPr>
      <w:spacing w:after="0" w:line="240" w:lineRule="atLeast"/>
    </w:pPr>
    <w:rPr>
      <w:color w:val="67AE6E" w:themeColor="background2"/>
      <w:sz w:val="20"/>
    </w:rPr>
  </w:style>
  <w:style w:type="paragraph" w:styleId="Nagwek1">
    <w:name w:val="heading 1"/>
    <w:basedOn w:val="Normalny"/>
    <w:next w:val="Normalny"/>
    <w:link w:val="Nagwek1Znak"/>
    <w:uiPriority w:val="9"/>
    <w:qFormat/>
    <w:rsid w:val="008D1132"/>
    <w:pPr>
      <w:keepNext/>
      <w:keepLines/>
      <w:spacing w:line="432" w:lineRule="exact"/>
      <w:jc w:val="center"/>
      <w:outlineLvl w:val="0"/>
    </w:pPr>
    <w:rPr>
      <w:rFonts w:asciiTheme="majorHAnsi" w:eastAsiaTheme="majorEastAsia" w:hAnsiTheme="majorHAnsi" w:cstheme="majorBidi"/>
      <w:bCs/>
      <w:color w:val="00AAFF" w:themeColor="accent2"/>
      <w:sz w:val="36"/>
      <w:szCs w:val="36"/>
      <w:lang w:val="en-US"/>
    </w:rPr>
  </w:style>
  <w:style w:type="paragraph" w:styleId="Nagwek3">
    <w:name w:val="heading 3"/>
    <w:basedOn w:val="Normalny"/>
    <w:next w:val="Normalny"/>
    <w:link w:val="Nagwek3Znak"/>
    <w:uiPriority w:val="9"/>
    <w:semiHidden/>
    <w:qFormat/>
    <w:rsid w:val="0018517C"/>
    <w:pPr>
      <w:keepNext/>
      <w:keepLines/>
      <w:spacing w:before="40"/>
      <w:outlineLvl w:val="2"/>
    </w:pPr>
    <w:rPr>
      <w:rFonts w:asciiTheme="majorHAnsi" w:eastAsiaTheme="majorEastAsia" w:hAnsiTheme="majorHAnsi" w:cstheme="majorBidi"/>
      <w:color w:val="0B122F"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link w:val="NagwekZnak"/>
    <w:uiPriority w:val="99"/>
    <w:unhideWhenUsed/>
    <w:rsid w:val="002019AB"/>
    <w:pPr>
      <w:spacing w:after="0" w:line="240" w:lineRule="exact"/>
    </w:pPr>
    <w:rPr>
      <w:sz w:val="20"/>
    </w:rPr>
  </w:style>
  <w:style w:type="character" w:customStyle="1" w:styleId="NagwekZnak">
    <w:name w:val="Nagłówek Znak"/>
    <w:basedOn w:val="Domylnaczcionkaakapitu"/>
    <w:link w:val="Nagwek"/>
    <w:uiPriority w:val="99"/>
    <w:rsid w:val="002019AB"/>
    <w:rPr>
      <w:sz w:val="20"/>
    </w:rPr>
  </w:style>
  <w:style w:type="paragraph" w:styleId="Stopka">
    <w:name w:val="footer"/>
    <w:link w:val="StopkaZnak"/>
    <w:uiPriority w:val="99"/>
    <w:unhideWhenUsed/>
    <w:rsid w:val="003C7C34"/>
    <w:pPr>
      <w:spacing w:after="0" w:line="240" w:lineRule="exact"/>
    </w:pPr>
    <w:rPr>
      <w:sz w:val="20"/>
    </w:rPr>
  </w:style>
  <w:style w:type="character" w:customStyle="1" w:styleId="StopkaZnak">
    <w:name w:val="Stopka Znak"/>
    <w:basedOn w:val="Domylnaczcionkaakapitu"/>
    <w:link w:val="Stopka"/>
    <w:uiPriority w:val="99"/>
    <w:rsid w:val="003C7C34"/>
    <w:rPr>
      <w:sz w:val="20"/>
    </w:rPr>
  </w:style>
  <w:style w:type="paragraph" w:styleId="Tekstdymka">
    <w:name w:val="Balloon Text"/>
    <w:basedOn w:val="Normalny"/>
    <w:link w:val="TekstdymkaZnak"/>
    <w:uiPriority w:val="99"/>
    <w:semiHidden/>
    <w:unhideWhenUsed/>
    <w:rsid w:val="0039669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690"/>
    <w:rPr>
      <w:rFonts w:ascii="Tahoma" w:hAnsi="Tahoma" w:cs="Tahoma"/>
      <w:sz w:val="16"/>
      <w:szCs w:val="16"/>
    </w:rPr>
  </w:style>
  <w:style w:type="character" w:customStyle="1" w:styleId="Nagwek1Znak">
    <w:name w:val="Nagłówek 1 Znak"/>
    <w:basedOn w:val="Domylnaczcionkaakapitu"/>
    <w:link w:val="Nagwek1"/>
    <w:uiPriority w:val="9"/>
    <w:rsid w:val="008D1132"/>
    <w:rPr>
      <w:rFonts w:asciiTheme="majorHAnsi" w:eastAsiaTheme="majorEastAsia" w:hAnsiTheme="majorHAnsi" w:cstheme="majorBidi"/>
      <w:bCs/>
      <w:color w:val="00AAFF" w:themeColor="accent2"/>
      <w:sz w:val="36"/>
      <w:szCs w:val="36"/>
      <w:lang w:val="en-US"/>
    </w:rPr>
  </w:style>
  <w:style w:type="table" w:styleId="Tabela-Siatka">
    <w:name w:val="Table Grid"/>
    <w:basedOn w:val="Standardowy"/>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ny"/>
    <w:semiHidden/>
    <w:rsid w:val="00317240"/>
    <w:pPr>
      <w:spacing w:line="200" w:lineRule="atLeast"/>
    </w:pPr>
    <w:rPr>
      <w:color w:val="F4C867"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17255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ny"/>
    <w:qFormat/>
    <w:rsid w:val="008D1132"/>
    <w:pPr>
      <w:jc w:val="right"/>
    </w:pPr>
    <w:rPr>
      <w:color w:val="17255F" w:themeColor="accent1"/>
      <w:sz w:val="28"/>
      <w:szCs w:val="28"/>
    </w:rPr>
  </w:style>
  <w:style w:type="paragraph" w:customStyle="1" w:styleId="Textepuce">
    <w:name w:val="Texte puce"/>
    <w:basedOn w:val="Textedesaisie"/>
    <w:qFormat/>
    <w:rsid w:val="00714945"/>
    <w:pPr>
      <w:numPr>
        <w:numId w:val="15"/>
      </w:numPr>
      <w:ind w:left="680" w:hanging="340"/>
    </w:pPr>
  </w:style>
  <w:style w:type="paragraph" w:customStyle="1" w:styleId="Texteadresseinternet">
    <w:name w:val="Texte adresse internet"/>
    <w:basedOn w:val="Stopka"/>
    <w:qFormat/>
    <w:rsid w:val="00B63ACD"/>
    <w:pPr>
      <w:jc w:val="right"/>
    </w:pPr>
    <w:rPr>
      <w:color w:val="00817D" w:themeColor="accent3"/>
      <w:sz w:val="18"/>
      <w:szCs w:val="18"/>
    </w:rPr>
  </w:style>
  <w:style w:type="paragraph" w:customStyle="1" w:styleId="Adressepieddepage">
    <w:name w:val="Adresse pied de page"/>
    <w:basedOn w:val="Stopka"/>
    <w:qFormat/>
    <w:rsid w:val="00BA6623"/>
    <w:pPr>
      <w:spacing w:line="180" w:lineRule="atLeast"/>
    </w:pPr>
    <w:rPr>
      <w:color w:val="00817D" w:themeColor="accent3"/>
      <w:sz w:val="14"/>
      <w:szCs w:val="14"/>
    </w:rPr>
  </w:style>
  <w:style w:type="character" w:customStyle="1" w:styleId="Bold">
    <w:name w:val="Bold"/>
    <w:basedOn w:val="Domylnaczcionkaakapitu"/>
    <w:uiPriority w:val="1"/>
    <w:qFormat/>
    <w:rsid w:val="0078427B"/>
    <w:rPr>
      <w:rFonts w:cs="Times New Roman"/>
      <w:b/>
      <w:lang w:val="en-US" w:eastAsia="x-none"/>
    </w:rPr>
  </w:style>
  <w:style w:type="paragraph" w:customStyle="1" w:styleId="Textedesaisie">
    <w:name w:val="Texte de saisie"/>
    <w:basedOn w:val="Normalny"/>
    <w:qFormat/>
    <w:rsid w:val="00562B4F"/>
    <w:pPr>
      <w:jc w:val="both"/>
    </w:pPr>
    <w:rPr>
      <w:color w:val="000000" w:themeColor="text1"/>
    </w:rPr>
  </w:style>
  <w:style w:type="paragraph" w:customStyle="1" w:styleId="Texteintroduction">
    <w:name w:val="Texte introduction"/>
    <w:basedOn w:val="Textedesaisie"/>
    <w:qFormat/>
    <w:rsid w:val="008C0B76"/>
    <w:rPr>
      <w:b/>
      <w:sz w:val="22"/>
    </w:rPr>
  </w:style>
  <w:style w:type="paragraph" w:customStyle="1" w:styleId="Datedudocument">
    <w:name w:val="Date du document"/>
    <w:basedOn w:val="Normalny"/>
    <w:qFormat/>
    <w:rsid w:val="008D1132"/>
    <w:pPr>
      <w:jc w:val="right"/>
    </w:pPr>
    <w:rPr>
      <w:color w:val="17255F" w:themeColor="accent1"/>
      <w:sz w:val="28"/>
      <w:szCs w:val="28"/>
    </w:rPr>
  </w:style>
  <w:style w:type="character" w:styleId="Hipercze">
    <w:name w:val="Hyperlink"/>
    <w:basedOn w:val="Domylnaczcionkaakapitu"/>
    <w:uiPriority w:val="99"/>
    <w:rsid w:val="008D1132"/>
    <w:rPr>
      <w:color w:val="00AAFF" w:themeColor="accent2"/>
      <w:u w:val="single"/>
    </w:rPr>
  </w:style>
  <w:style w:type="paragraph" w:customStyle="1" w:styleId="Texteapropos">
    <w:name w:val="Texte a propos"/>
    <w:basedOn w:val="Textedesaisie"/>
    <w:qFormat/>
    <w:rsid w:val="00F92ECA"/>
    <w:pPr>
      <w:spacing w:line="216" w:lineRule="atLeast"/>
    </w:pPr>
    <w:rPr>
      <w:color w:val="auto"/>
      <w:sz w:val="18"/>
      <w:szCs w:val="18"/>
    </w:rPr>
  </w:style>
  <w:style w:type="paragraph" w:customStyle="1" w:styleId="Textecontact">
    <w:name w:val="Texte contact"/>
    <w:basedOn w:val="Textedesaisie"/>
    <w:qFormat/>
    <w:rsid w:val="00F92ECA"/>
    <w:pPr>
      <w:spacing w:line="216" w:lineRule="atLeast"/>
      <w:jc w:val="left"/>
    </w:pPr>
    <w:rPr>
      <w:color w:val="auto"/>
      <w:sz w:val="18"/>
      <w:szCs w:val="18"/>
    </w:rPr>
  </w:style>
  <w:style w:type="paragraph" w:styleId="NormalnyWeb">
    <w:name w:val="Normal (Web)"/>
    <w:basedOn w:val="Normalny"/>
    <w:uiPriority w:val="99"/>
    <w:semiHidden/>
    <w:unhideWhenUsed/>
    <w:rsid w:val="00CC7B62"/>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styleId="Tekstprzypisudolnego">
    <w:name w:val="footnote text"/>
    <w:basedOn w:val="Normalny"/>
    <w:link w:val="TekstprzypisudolnegoZnak"/>
    <w:uiPriority w:val="99"/>
    <w:semiHidden/>
    <w:unhideWhenUsed/>
    <w:rsid w:val="00C23EDE"/>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C23EDE"/>
    <w:rPr>
      <w:color w:val="67AE6E" w:themeColor="background2"/>
      <w:sz w:val="20"/>
      <w:szCs w:val="20"/>
    </w:rPr>
  </w:style>
  <w:style w:type="character" w:styleId="Odwoanieprzypisudolnego">
    <w:name w:val="footnote reference"/>
    <w:basedOn w:val="Domylnaczcionkaakapitu"/>
    <w:uiPriority w:val="99"/>
    <w:semiHidden/>
    <w:unhideWhenUsed/>
    <w:rsid w:val="00C23EDE"/>
    <w:rPr>
      <w:vertAlign w:val="superscript"/>
    </w:rPr>
  </w:style>
  <w:style w:type="character" w:styleId="UyteHipercze">
    <w:name w:val="FollowedHyperlink"/>
    <w:basedOn w:val="Domylnaczcionkaakapitu"/>
    <w:uiPriority w:val="99"/>
    <w:semiHidden/>
    <w:unhideWhenUsed/>
    <w:rsid w:val="0036517B"/>
    <w:rPr>
      <w:color w:val="000000" w:themeColor="followedHyperlink"/>
      <w:u w:val="single"/>
    </w:rPr>
  </w:style>
  <w:style w:type="character" w:customStyle="1" w:styleId="Nagwek3Znak">
    <w:name w:val="Nagłówek 3 Znak"/>
    <w:basedOn w:val="Domylnaczcionkaakapitu"/>
    <w:link w:val="Nagwek3"/>
    <w:uiPriority w:val="9"/>
    <w:semiHidden/>
    <w:rsid w:val="0018517C"/>
    <w:rPr>
      <w:rFonts w:asciiTheme="majorHAnsi" w:eastAsiaTheme="majorEastAsia" w:hAnsiTheme="majorHAnsi" w:cstheme="majorBidi"/>
      <w:color w:val="0B122F" w:themeColor="accent1" w:themeShade="7F"/>
      <w:sz w:val="24"/>
      <w:szCs w:val="24"/>
    </w:rPr>
  </w:style>
  <w:style w:type="character" w:styleId="Odwoaniedokomentarza">
    <w:name w:val="annotation reference"/>
    <w:basedOn w:val="Domylnaczcionkaakapitu"/>
    <w:uiPriority w:val="99"/>
    <w:semiHidden/>
    <w:unhideWhenUsed/>
    <w:rsid w:val="000145E6"/>
    <w:rPr>
      <w:sz w:val="16"/>
      <w:szCs w:val="16"/>
    </w:rPr>
  </w:style>
  <w:style w:type="paragraph" w:styleId="Tekstkomentarza">
    <w:name w:val="annotation text"/>
    <w:basedOn w:val="Normalny"/>
    <w:link w:val="TekstkomentarzaZnak"/>
    <w:uiPriority w:val="99"/>
    <w:unhideWhenUsed/>
    <w:rsid w:val="000145E6"/>
    <w:pPr>
      <w:spacing w:line="240" w:lineRule="auto"/>
    </w:pPr>
    <w:rPr>
      <w:szCs w:val="20"/>
    </w:rPr>
  </w:style>
  <w:style w:type="character" w:customStyle="1" w:styleId="TekstkomentarzaZnak">
    <w:name w:val="Tekst komentarza Znak"/>
    <w:basedOn w:val="Domylnaczcionkaakapitu"/>
    <w:link w:val="Tekstkomentarza"/>
    <w:uiPriority w:val="99"/>
    <w:rsid w:val="000145E6"/>
    <w:rPr>
      <w:color w:val="67AE6E" w:themeColor="background2"/>
      <w:sz w:val="20"/>
      <w:szCs w:val="20"/>
    </w:rPr>
  </w:style>
  <w:style w:type="paragraph" w:styleId="Tematkomentarza">
    <w:name w:val="annotation subject"/>
    <w:basedOn w:val="Tekstkomentarza"/>
    <w:next w:val="Tekstkomentarza"/>
    <w:link w:val="TematkomentarzaZnak"/>
    <w:uiPriority w:val="99"/>
    <w:semiHidden/>
    <w:unhideWhenUsed/>
    <w:rsid w:val="000145E6"/>
    <w:rPr>
      <w:b/>
      <w:bCs/>
    </w:rPr>
  </w:style>
  <w:style w:type="character" w:customStyle="1" w:styleId="TematkomentarzaZnak">
    <w:name w:val="Temat komentarza Znak"/>
    <w:basedOn w:val="TekstkomentarzaZnak"/>
    <w:link w:val="Tematkomentarza"/>
    <w:uiPriority w:val="99"/>
    <w:semiHidden/>
    <w:rsid w:val="000145E6"/>
    <w:rPr>
      <w:b/>
      <w:bCs/>
      <w:color w:val="67AE6E" w:themeColor="background2"/>
      <w:sz w:val="20"/>
      <w:szCs w:val="20"/>
    </w:rPr>
  </w:style>
  <w:style w:type="paragraph" w:styleId="Poprawka">
    <w:name w:val="Revision"/>
    <w:hidden/>
    <w:uiPriority w:val="99"/>
    <w:semiHidden/>
    <w:rsid w:val="00920AB2"/>
    <w:pPr>
      <w:spacing w:after="0" w:line="240" w:lineRule="auto"/>
    </w:pPr>
    <w:rPr>
      <w:color w:val="67AE6E" w:themeColor="background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005">
      <w:bodyDiv w:val="1"/>
      <w:marLeft w:val="0"/>
      <w:marRight w:val="0"/>
      <w:marTop w:val="0"/>
      <w:marBottom w:val="0"/>
      <w:divBdr>
        <w:top w:val="none" w:sz="0" w:space="0" w:color="auto"/>
        <w:left w:val="none" w:sz="0" w:space="0" w:color="auto"/>
        <w:bottom w:val="none" w:sz="0" w:space="0" w:color="auto"/>
        <w:right w:val="none" w:sz="0" w:space="0" w:color="auto"/>
      </w:divBdr>
    </w:div>
    <w:div w:id="92677284">
      <w:bodyDiv w:val="1"/>
      <w:marLeft w:val="0"/>
      <w:marRight w:val="0"/>
      <w:marTop w:val="0"/>
      <w:marBottom w:val="0"/>
      <w:divBdr>
        <w:top w:val="none" w:sz="0" w:space="0" w:color="auto"/>
        <w:left w:val="none" w:sz="0" w:space="0" w:color="auto"/>
        <w:bottom w:val="none" w:sz="0" w:space="0" w:color="auto"/>
        <w:right w:val="none" w:sz="0" w:space="0" w:color="auto"/>
      </w:divBdr>
    </w:div>
    <w:div w:id="146481754">
      <w:bodyDiv w:val="1"/>
      <w:marLeft w:val="0"/>
      <w:marRight w:val="0"/>
      <w:marTop w:val="0"/>
      <w:marBottom w:val="0"/>
      <w:divBdr>
        <w:top w:val="none" w:sz="0" w:space="0" w:color="auto"/>
        <w:left w:val="none" w:sz="0" w:space="0" w:color="auto"/>
        <w:bottom w:val="none" w:sz="0" w:space="0" w:color="auto"/>
        <w:right w:val="none" w:sz="0" w:space="0" w:color="auto"/>
      </w:divBdr>
    </w:div>
    <w:div w:id="229927955">
      <w:bodyDiv w:val="1"/>
      <w:marLeft w:val="0"/>
      <w:marRight w:val="0"/>
      <w:marTop w:val="0"/>
      <w:marBottom w:val="0"/>
      <w:divBdr>
        <w:top w:val="none" w:sz="0" w:space="0" w:color="auto"/>
        <w:left w:val="none" w:sz="0" w:space="0" w:color="auto"/>
        <w:bottom w:val="none" w:sz="0" w:space="0" w:color="auto"/>
        <w:right w:val="none" w:sz="0" w:space="0" w:color="auto"/>
      </w:divBdr>
    </w:div>
    <w:div w:id="273558513">
      <w:bodyDiv w:val="1"/>
      <w:marLeft w:val="0"/>
      <w:marRight w:val="0"/>
      <w:marTop w:val="0"/>
      <w:marBottom w:val="0"/>
      <w:divBdr>
        <w:top w:val="none" w:sz="0" w:space="0" w:color="auto"/>
        <w:left w:val="none" w:sz="0" w:space="0" w:color="auto"/>
        <w:bottom w:val="none" w:sz="0" w:space="0" w:color="auto"/>
        <w:right w:val="none" w:sz="0" w:space="0" w:color="auto"/>
      </w:divBdr>
    </w:div>
    <w:div w:id="304241339">
      <w:bodyDiv w:val="1"/>
      <w:marLeft w:val="0"/>
      <w:marRight w:val="0"/>
      <w:marTop w:val="0"/>
      <w:marBottom w:val="0"/>
      <w:divBdr>
        <w:top w:val="none" w:sz="0" w:space="0" w:color="auto"/>
        <w:left w:val="none" w:sz="0" w:space="0" w:color="auto"/>
        <w:bottom w:val="none" w:sz="0" w:space="0" w:color="auto"/>
        <w:right w:val="none" w:sz="0" w:space="0" w:color="auto"/>
      </w:divBdr>
    </w:div>
    <w:div w:id="371154995">
      <w:bodyDiv w:val="1"/>
      <w:marLeft w:val="0"/>
      <w:marRight w:val="0"/>
      <w:marTop w:val="0"/>
      <w:marBottom w:val="0"/>
      <w:divBdr>
        <w:top w:val="none" w:sz="0" w:space="0" w:color="auto"/>
        <w:left w:val="none" w:sz="0" w:space="0" w:color="auto"/>
        <w:bottom w:val="none" w:sz="0" w:space="0" w:color="auto"/>
        <w:right w:val="none" w:sz="0" w:space="0" w:color="auto"/>
      </w:divBdr>
    </w:div>
    <w:div w:id="372507481">
      <w:bodyDiv w:val="1"/>
      <w:marLeft w:val="0"/>
      <w:marRight w:val="0"/>
      <w:marTop w:val="0"/>
      <w:marBottom w:val="0"/>
      <w:divBdr>
        <w:top w:val="none" w:sz="0" w:space="0" w:color="auto"/>
        <w:left w:val="none" w:sz="0" w:space="0" w:color="auto"/>
        <w:bottom w:val="none" w:sz="0" w:space="0" w:color="auto"/>
        <w:right w:val="none" w:sz="0" w:space="0" w:color="auto"/>
      </w:divBdr>
    </w:div>
    <w:div w:id="418016328">
      <w:bodyDiv w:val="1"/>
      <w:marLeft w:val="0"/>
      <w:marRight w:val="0"/>
      <w:marTop w:val="0"/>
      <w:marBottom w:val="0"/>
      <w:divBdr>
        <w:top w:val="none" w:sz="0" w:space="0" w:color="auto"/>
        <w:left w:val="none" w:sz="0" w:space="0" w:color="auto"/>
        <w:bottom w:val="none" w:sz="0" w:space="0" w:color="auto"/>
        <w:right w:val="none" w:sz="0" w:space="0" w:color="auto"/>
      </w:divBdr>
    </w:div>
    <w:div w:id="452675154">
      <w:bodyDiv w:val="1"/>
      <w:marLeft w:val="0"/>
      <w:marRight w:val="0"/>
      <w:marTop w:val="0"/>
      <w:marBottom w:val="0"/>
      <w:divBdr>
        <w:top w:val="none" w:sz="0" w:space="0" w:color="auto"/>
        <w:left w:val="none" w:sz="0" w:space="0" w:color="auto"/>
        <w:bottom w:val="none" w:sz="0" w:space="0" w:color="auto"/>
        <w:right w:val="none" w:sz="0" w:space="0" w:color="auto"/>
      </w:divBdr>
    </w:div>
    <w:div w:id="452946839">
      <w:bodyDiv w:val="1"/>
      <w:marLeft w:val="0"/>
      <w:marRight w:val="0"/>
      <w:marTop w:val="0"/>
      <w:marBottom w:val="0"/>
      <w:divBdr>
        <w:top w:val="none" w:sz="0" w:space="0" w:color="auto"/>
        <w:left w:val="none" w:sz="0" w:space="0" w:color="auto"/>
        <w:bottom w:val="none" w:sz="0" w:space="0" w:color="auto"/>
        <w:right w:val="none" w:sz="0" w:space="0" w:color="auto"/>
      </w:divBdr>
    </w:div>
    <w:div w:id="511576875">
      <w:bodyDiv w:val="1"/>
      <w:marLeft w:val="0"/>
      <w:marRight w:val="0"/>
      <w:marTop w:val="0"/>
      <w:marBottom w:val="0"/>
      <w:divBdr>
        <w:top w:val="none" w:sz="0" w:space="0" w:color="auto"/>
        <w:left w:val="none" w:sz="0" w:space="0" w:color="auto"/>
        <w:bottom w:val="none" w:sz="0" w:space="0" w:color="auto"/>
        <w:right w:val="none" w:sz="0" w:space="0" w:color="auto"/>
      </w:divBdr>
    </w:div>
    <w:div w:id="707682974">
      <w:bodyDiv w:val="1"/>
      <w:marLeft w:val="0"/>
      <w:marRight w:val="0"/>
      <w:marTop w:val="0"/>
      <w:marBottom w:val="0"/>
      <w:divBdr>
        <w:top w:val="none" w:sz="0" w:space="0" w:color="auto"/>
        <w:left w:val="none" w:sz="0" w:space="0" w:color="auto"/>
        <w:bottom w:val="none" w:sz="0" w:space="0" w:color="auto"/>
        <w:right w:val="none" w:sz="0" w:space="0" w:color="auto"/>
      </w:divBdr>
    </w:div>
    <w:div w:id="763917963">
      <w:bodyDiv w:val="1"/>
      <w:marLeft w:val="0"/>
      <w:marRight w:val="0"/>
      <w:marTop w:val="0"/>
      <w:marBottom w:val="0"/>
      <w:divBdr>
        <w:top w:val="none" w:sz="0" w:space="0" w:color="auto"/>
        <w:left w:val="none" w:sz="0" w:space="0" w:color="auto"/>
        <w:bottom w:val="none" w:sz="0" w:space="0" w:color="auto"/>
        <w:right w:val="none" w:sz="0" w:space="0" w:color="auto"/>
      </w:divBdr>
    </w:div>
    <w:div w:id="774596020">
      <w:bodyDiv w:val="1"/>
      <w:marLeft w:val="0"/>
      <w:marRight w:val="0"/>
      <w:marTop w:val="0"/>
      <w:marBottom w:val="0"/>
      <w:divBdr>
        <w:top w:val="none" w:sz="0" w:space="0" w:color="auto"/>
        <w:left w:val="none" w:sz="0" w:space="0" w:color="auto"/>
        <w:bottom w:val="none" w:sz="0" w:space="0" w:color="auto"/>
        <w:right w:val="none" w:sz="0" w:space="0" w:color="auto"/>
      </w:divBdr>
    </w:div>
    <w:div w:id="789008216">
      <w:bodyDiv w:val="1"/>
      <w:marLeft w:val="0"/>
      <w:marRight w:val="0"/>
      <w:marTop w:val="0"/>
      <w:marBottom w:val="0"/>
      <w:divBdr>
        <w:top w:val="none" w:sz="0" w:space="0" w:color="auto"/>
        <w:left w:val="none" w:sz="0" w:space="0" w:color="auto"/>
        <w:bottom w:val="none" w:sz="0" w:space="0" w:color="auto"/>
        <w:right w:val="none" w:sz="0" w:space="0" w:color="auto"/>
      </w:divBdr>
    </w:div>
    <w:div w:id="799566335">
      <w:bodyDiv w:val="1"/>
      <w:marLeft w:val="0"/>
      <w:marRight w:val="0"/>
      <w:marTop w:val="0"/>
      <w:marBottom w:val="0"/>
      <w:divBdr>
        <w:top w:val="none" w:sz="0" w:space="0" w:color="auto"/>
        <w:left w:val="none" w:sz="0" w:space="0" w:color="auto"/>
        <w:bottom w:val="none" w:sz="0" w:space="0" w:color="auto"/>
        <w:right w:val="none" w:sz="0" w:space="0" w:color="auto"/>
      </w:divBdr>
    </w:div>
    <w:div w:id="930167089">
      <w:bodyDiv w:val="1"/>
      <w:marLeft w:val="0"/>
      <w:marRight w:val="0"/>
      <w:marTop w:val="0"/>
      <w:marBottom w:val="0"/>
      <w:divBdr>
        <w:top w:val="none" w:sz="0" w:space="0" w:color="auto"/>
        <w:left w:val="none" w:sz="0" w:space="0" w:color="auto"/>
        <w:bottom w:val="none" w:sz="0" w:space="0" w:color="auto"/>
        <w:right w:val="none" w:sz="0" w:space="0" w:color="auto"/>
      </w:divBdr>
    </w:div>
    <w:div w:id="1251113647">
      <w:bodyDiv w:val="1"/>
      <w:marLeft w:val="0"/>
      <w:marRight w:val="0"/>
      <w:marTop w:val="0"/>
      <w:marBottom w:val="0"/>
      <w:divBdr>
        <w:top w:val="none" w:sz="0" w:space="0" w:color="auto"/>
        <w:left w:val="none" w:sz="0" w:space="0" w:color="auto"/>
        <w:bottom w:val="none" w:sz="0" w:space="0" w:color="auto"/>
        <w:right w:val="none" w:sz="0" w:space="0" w:color="auto"/>
      </w:divBdr>
    </w:div>
    <w:div w:id="1261910482">
      <w:bodyDiv w:val="1"/>
      <w:marLeft w:val="0"/>
      <w:marRight w:val="0"/>
      <w:marTop w:val="0"/>
      <w:marBottom w:val="0"/>
      <w:divBdr>
        <w:top w:val="none" w:sz="0" w:space="0" w:color="auto"/>
        <w:left w:val="none" w:sz="0" w:space="0" w:color="auto"/>
        <w:bottom w:val="none" w:sz="0" w:space="0" w:color="auto"/>
        <w:right w:val="none" w:sz="0" w:space="0" w:color="auto"/>
      </w:divBdr>
      <w:divsChild>
        <w:div w:id="156992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982362">
      <w:bodyDiv w:val="1"/>
      <w:marLeft w:val="0"/>
      <w:marRight w:val="0"/>
      <w:marTop w:val="0"/>
      <w:marBottom w:val="0"/>
      <w:divBdr>
        <w:top w:val="none" w:sz="0" w:space="0" w:color="auto"/>
        <w:left w:val="none" w:sz="0" w:space="0" w:color="auto"/>
        <w:bottom w:val="none" w:sz="0" w:space="0" w:color="auto"/>
        <w:right w:val="none" w:sz="0" w:space="0" w:color="auto"/>
      </w:divBdr>
    </w:div>
    <w:div w:id="1407729345">
      <w:bodyDiv w:val="1"/>
      <w:marLeft w:val="0"/>
      <w:marRight w:val="0"/>
      <w:marTop w:val="0"/>
      <w:marBottom w:val="0"/>
      <w:divBdr>
        <w:top w:val="none" w:sz="0" w:space="0" w:color="auto"/>
        <w:left w:val="none" w:sz="0" w:space="0" w:color="auto"/>
        <w:bottom w:val="none" w:sz="0" w:space="0" w:color="auto"/>
        <w:right w:val="none" w:sz="0" w:space="0" w:color="auto"/>
      </w:divBdr>
    </w:div>
    <w:div w:id="1439989042">
      <w:bodyDiv w:val="1"/>
      <w:marLeft w:val="0"/>
      <w:marRight w:val="0"/>
      <w:marTop w:val="0"/>
      <w:marBottom w:val="0"/>
      <w:divBdr>
        <w:top w:val="none" w:sz="0" w:space="0" w:color="auto"/>
        <w:left w:val="none" w:sz="0" w:space="0" w:color="auto"/>
        <w:bottom w:val="none" w:sz="0" w:space="0" w:color="auto"/>
        <w:right w:val="none" w:sz="0" w:space="0" w:color="auto"/>
      </w:divBdr>
    </w:div>
    <w:div w:id="1593970002">
      <w:bodyDiv w:val="1"/>
      <w:marLeft w:val="0"/>
      <w:marRight w:val="0"/>
      <w:marTop w:val="0"/>
      <w:marBottom w:val="0"/>
      <w:divBdr>
        <w:top w:val="none" w:sz="0" w:space="0" w:color="auto"/>
        <w:left w:val="none" w:sz="0" w:space="0" w:color="auto"/>
        <w:bottom w:val="none" w:sz="0" w:space="0" w:color="auto"/>
        <w:right w:val="none" w:sz="0" w:space="0" w:color="auto"/>
      </w:divBdr>
    </w:div>
    <w:div w:id="1602444802">
      <w:bodyDiv w:val="1"/>
      <w:marLeft w:val="0"/>
      <w:marRight w:val="0"/>
      <w:marTop w:val="0"/>
      <w:marBottom w:val="0"/>
      <w:divBdr>
        <w:top w:val="none" w:sz="0" w:space="0" w:color="auto"/>
        <w:left w:val="none" w:sz="0" w:space="0" w:color="auto"/>
        <w:bottom w:val="none" w:sz="0" w:space="0" w:color="auto"/>
        <w:right w:val="none" w:sz="0" w:space="0" w:color="auto"/>
      </w:divBdr>
    </w:div>
    <w:div w:id="1622111405">
      <w:bodyDiv w:val="1"/>
      <w:marLeft w:val="0"/>
      <w:marRight w:val="0"/>
      <w:marTop w:val="0"/>
      <w:marBottom w:val="0"/>
      <w:divBdr>
        <w:top w:val="none" w:sz="0" w:space="0" w:color="auto"/>
        <w:left w:val="none" w:sz="0" w:space="0" w:color="auto"/>
        <w:bottom w:val="none" w:sz="0" w:space="0" w:color="auto"/>
        <w:right w:val="none" w:sz="0" w:space="0" w:color="auto"/>
      </w:divBdr>
      <w:divsChild>
        <w:div w:id="523136675">
          <w:marLeft w:val="0"/>
          <w:marRight w:val="0"/>
          <w:marTop w:val="0"/>
          <w:marBottom w:val="0"/>
          <w:divBdr>
            <w:top w:val="none" w:sz="0" w:space="0" w:color="auto"/>
            <w:left w:val="none" w:sz="0" w:space="0" w:color="auto"/>
            <w:bottom w:val="none" w:sz="0" w:space="0" w:color="auto"/>
            <w:right w:val="none" w:sz="0" w:space="0" w:color="auto"/>
          </w:divBdr>
        </w:div>
        <w:div w:id="106849219">
          <w:marLeft w:val="0"/>
          <w:marRight w:val="0"/>
          <w:marTop w:val="0"/>
          <w:marBottom w:val="0"/>
          <w:divBdr>
            <w:top w:val="none" w:sz="0" w:space="0" w:color="auto"/>
            <w:left w:val="none" w:sz="0" w:space="0" w:color="auto"/>
            <w:bottom w:val="none" w:sz="0" w:space="0" w:color="auto"/>
            <w:right w:val="none" w:sz="0" w:space="0" w:color="auto"/>
          </w:divBdr>
        </w:div>
      </w:divsChild>
    </w:div>
    <w:div w:id="1836408243">
      <w:bodyDiv w:val="1"/>
      <w:marLeft w:val="0"/>
      <w:marRight w:val="0"/>
      <w:marTop w:val="0"/>
      <w:marBottom w:val="0"/>
      <w:divBdr>
        <w:top w:val="none" w:sz="0" w:space="0" w:color="auto"/>
        <w:left w:val="none" w:sz="0" w:space="0" w:color="auto"/>
        <w:bottom w:val="none" w:sz="0" w:space="0" w:color="auto"/>
        <w:right w:val="none" w:sz="0" w:space="0" w:color="auto"/>
      </w:divBdr>
      <w:divsChild>
        <w:div w:id="1332103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2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gdalena.jarominska@engi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j\Downloads\Press%20release%20Template%20(2).dotx" TargetMode="External"/></Relationships>
</file>

<file path=word/theme/theme1.xml><?xml version="1.0" encoding="utf-8"?>
<a:theme xmlns:a="http://schemas.openxmlformats.org/drawingml/2006/main" name="Thème Office">
  <a:themeElements>
    <a:clrScheme name="ENGIE WORD">
      <a:dk1>
        <a:sysClr val="windowText" lastClr="000000"/>
      </a:dk1>
      <a:lt1>
        <a:sysClr val="window" lastClr="FFFFFF"/>
      </a:lt1>
      <a:dk2>
        <a:srgbClr val="F4C867"/>
      </a:dk2>
      <a:lt2>
        <a:srgbClr val="67AE6E"/>
      </a:lt2>
      <a:accent1>
        <a:srgbClr val="17255F"/>
      </a:accent1>
      <a:accent2>
        <a:srgbClr val="00AAFF"/>
      </a:accent2>
      <a:accent3>
        <a:srgbClr val="00817D"/>
      </a:accent3>
      <a:accent4>
        <a:srgbClr val="E18554"/>
      </a:accent4>
      <a:accent5>
        <a:srgbClr val="1D8CBC"/>
      </a:accent5>
      <a:accent6>
        <a:srgbClr val="4BB0B9"/>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5a6ef-3976-4b86-a61c-2b233245df1a">
      <Terms xmlns="http://schemas.microsoft.com/office/infopath/2007/PartnerControls"/>
    </lcf76f155ced4ddcb4097134ff3c332f>
    <b1b820adfd3e4a078472514c1a5cb5ff xmlns="87037488-ec5d-4aba-84c2-9b1d22638e8e">
      <Terms xmlns="http://schemas.microsoft.com/office/infopath/2007/PartnerControls"/>
    </b1b820adfd3e4a078472514c1a5cb5ff>
    <TaxCatchAll xmlns="87037488-ec5d-4aba-84c2-9b1d22638e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BEBC1F51AFBC4FA9CABE1273F680D0" ma:contentTypeVersion="16" ma:contentTypeDescription="Utwórz nowy dokument." ma:contentTypeScope="" ma:versionID="5fe782b47889094dd2a2c9da467a79e4">
  <xsd:schema xmlns:xsd="http://www.w3.org/2001/XMLSchema" xmlns:xs="http://www.w3.org/2001/XMLSchema" xmlns:p="http://schemas.microsoft.com/office/2006/metadata/properties" xmlns:ns2="87037488-ec5d-4aba-84c2-9b1d22638e8e" xmlns:ns3="58b5a6ef-3976-4b86-a61c-2b233245df1a" xmlns:ns4="e0555a73-95f1-4537-8631-abe7d984fa9b" targetNamespace="http://schemas.microsoft.com/office/2006/metadata/properties" ma:root="true" ma:fieldsID="e2c88469c185f4f57674055d7e4ec425" ns2:_="" ns3:_="" ns4:_="">
    <xsd:import namespace="87037488-ec5d-4aba-84c2-9b1d22638e8e"/>
    <xsd:import namespace="58b5a6ef-3976-4b86-a61c-2b233245df1a"/>
    <xsd:import namespace="e0555a73-95f1-4537-8631-abe7d984fa9b"/>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b10c86-abff-4866-8eb6-950d4954d5e5}" ma:internalName="TaxCatchAll" ma:showField="CatchAllData" ma:web="e0555a73-95f1-4537-8631-abe7d984fa9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b10c86-abff-4866-8eb6-950d4954d5e5}" ma:internalName="TaxCatchAllLabel" ma:readOnly="true" ma:showField="CatchAllDataLabel" ma:web="e0555a73-95f1-4537-8631-abe7d984f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b5a6ef-3976-4b86-a61c-2b233245df1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55a73-95f1-4537-8631-abe7d984fa9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f472f7-a010-4b5a-bb99-a26ed4c99680"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69931-3C41-47CF-A7DE-5846CA1A3900}">
  <ds:schemaRefs>
    <ds:schemaRef ds:uri="http://schemas.microsoft.com/office/2006/metadata/properties"/>
    <ds:schemaRef ds:uri="http://schemas.microsoft.com/office/infopath/2007/PartnerControls"/>
    <ds:schemaRef ds:uri="58b5a6ef-3976-4b86-a61c-2b233245df1a"/>
    <ds:schemaRef ds:uri="87037488-ec5d-4aba-84c2-9b1d22638e8e"/>
  </ds:schemaRefs>
</ds:datastoreItem>
</file>

<file path=customXml/itemProps2.xml><?xml version="1.0" encoding="utf-8"?>
<ds:datastoreItem xmlns:ds="http://schemas.openxmlformats.org/officeDocument/2006/customXml" ds:itemID="{19885D27-E3FD-421B-A756-65DA74C5112C}">
  <ds:schemaRefs>
    <ds:schemaRef ds:uri="http://schemas.openxmlformats.org/officeDocument/2006/bibliography"/>
  </ds:schemaRefs>
</ds:datastoreItem>
</file>

<file path=customXml/itemProps3.xml><?xml version="1.0" encoding="utf-8"?>
<ds:datastoreItem xmlns:ds="http://schemas.openxmlformats.org/officeDocument/2006/customXml" ds:itemID="{DB9D7AC7-08C6-48A5-BA35-3E95013CF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58b5a6ef-3976-4b86-a61c-2b233245df1a"/>
    <ds:schemaRef ds:uri="e0555a73-95f1-4537-8631-abe7d984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70757-20A6-4983-BC83-EA142C2D6308}">
  <ds:schemaRefs>
    <ds:schemaRef ds:uri="Microsoft.SharePoint.Taxonomy.ContentTypeSync"/>
  </ds:schemaRefs>
</ds:datastoreItem>
</file>

<file path=customXml/itemProps5.xml><?xml version="1.0" encoding="utf-8"?>
<ds:datastoreItem xmlns:ds="http://schemas.openxmlformats.org/officeDocument/2006/customXml" ds:itemID="{F92E00FE-3F8A-4101-9AA7-C405E5B8461C}">
  <ds:schemaRefs>
    <ds:schemaRef ds:uri="http://schemas.microsoft.com/sharepoint/v3/contenttype/forms"/>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Press release Template (2)</Template>
  <TotalTime>0</TotalTime>
  <Pages>3</Pages>
  <Words>965</Words>
  <Characters>6720</Characters>
  <Application>Microsoft Office Word</Application>
  <DocSecurity>0</DocSecurity>
  <Lines>134</Lines>
  <Paragraphs>25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ENGIE</dc:title>
  <dc:subject>ENGIE</dc:subject>
  <dc:creator>Alicja Dołęgowska</dc:creator>
  <cp:lastModifiedBy>HOJKA Lechosław Hojka (ENGIE Zielona Energia)</cp:lastModifiedBy>
  <cp:revision>8</cp:revision>
  <dcterms:created xsi:type="dcterms:W3CDTF">2026-06-25T13:22:00Z</dcterms:created>
  <dcterms:modified xsi:type="dcterms:W3CDTF">2026-06-25T14:13:00Z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0x01010051BEBC1F51AFBC4FA9CABE1273F680D0</vt:lpwstr>
  </property>
</Properties>
</file>