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276" w:lineRule="auto"/>
        <w:jc w:val="right"/>
        <w:rPr>
          <w:rFonts w:ascii="Proxima Nova" w:cs="Proxima Nova" w:eastAsia="Proxima Nova" w:hAnsi="Proxima Nova"/>
          <w:sz w:val="30"/>
          <w:szCs w:val="30"/>
        </w:rPr>
      </w:pPr>
      <w:r w:rsidDel="00000000" w:rsidR="00000000" w:rsidRPr="00000000">
        <w:rPr>
          <w:rFonts w:ascii="Proxima Nova" w:cs="Proxima Nova" w:eastAsia="Proxima Nova" w:hAnsi="Proxima Nova"/>
          <w:sz w:val="20"/>
          <w:szCs w:val="20"/>
          <w:rtl w:val="0"/>
        </w:rPr>
        <w:t xml:space="preserve">Warszawa, 25 czerwca 2026 r.</w:t>
      </w:r>
      <w:r w:rsidDel="00000000" w:rsidR="00000000" w:rsidRPr="00000000">
        <w:rPr>
          <w:rtl w:val="0"/>
        </w:rPr>
      </w:r>
    </w:p>
    <w:p w:rsidR="00000000" w:rsidDel="00000000" w:rsidP="00000000" w:rsidRDefault="00000000" w:rsidRPr="00000000" w14:paraId="00000002">
      <w:pPr>
        <w:spacing w:after="0" w:before="240" w:line="276" w:lineRule="auto"/>
        <w:jc w:val="center"/>
        <w:rPr>
          <w:rFonts w:ascii="Proxima Nova" w:cs="Proxima Nova" w:eastAsia="Proxima Nova" w:hAnsi="Proxima Nova"/>
          <w:b w:val="1"/>
          <w:bCs w:val="1"/>
          <w:sz w:val="30"/>
          <w:szCs w:val="30"/>
        </w:rPr>
      </w:pPr>
      <w:r w:rsidDel="00000000" w:rsidR="00000000" w:rsidRPr="00000000">
        <w:rPr>
          <w:rFonts w:ascii="Proxima Nova" w:cs="Proxima Nova" w:eastAsia="Proxima Nova" w:hAnsi="Proxima Nova"/>
          <w:b w:val="1"/>
          <w:bCs w:val="1"/>
          <w:sz w:val="30"/>
          <w:szCs w:val="30"/>
          <w:rtl w:val="0"/>
        </w:rPr>
        <w:t xml:space="preserve">Od wabika do standardu. Jak zmieniły się najpopularniejsze benefity w IT?</w:t>
      </w:r>
    </w:p>
    <w:p w:rsidR="00000000" w:rsidDel="00000000" w:rsidP="00000000" w:rsidRDefault="00000000" w:rsidRPr="00000000" w14:paraId="00000003">
      <w:pPr>
        <w:spacing w:after="0" w:before="24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sz w:val="20"/>
          <w:szCs w:val="20"/>
          <w:rtl w:val="0"/>
        </w:rPr>
        <w:t xml:space="preserve">Przez ostatnie pięć lat branża IT przeszła drogę od pandemicznego boomu rekrutacyjnego, przez okres korekty, aż po etap normalizacji. Barometrem transformacji sektora są benefity, które pokazują zmiany układu sił i są dowodem na wyższy poziom dojrzałości biznesowej w branży. Potwierdza to analiza ogłoszeń w serwisie theprotocol.it, z której wynika, że rola świadczeń pozapłacowych przesunęła się z funkcji wizerunkowej w stronę praktycznej wartości dodanej.</w:t>
      </w:r>
      <w:r w:rsidDel="00000000" w:rsidR="00000000" w:rsidRPr="00000000">
        <w:rPr>
          <w:rtl w:val="0"/>
        </w:rPr>
      </w:r>
    </w:p>
    <w:p w:rsidR="00000000" w:rsidDel="00000000" w:rsidP="00000000" w:rsidRDefault="00000000" w:rsidRPr="00000000" w14:paraId="00000004">
      <w:pPr>
        <w:spacing w:after="0" w:before="240" w:line="276" w:lineRule="auto"/>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Benefity: od ofertowego lukru do rynkowego standardu</w:t>
      </w:r>
    </w:p>
    <w:p w:rsidR="00000000" w:rsidDel="00000000" w:rsidP="00000000" w:rsidRDefault="00000000" w:rsidRPr="00000000" w14:paraId="00000005">
      <w:pPr>
        <w:spacing w:after="0" w:before="24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Z okazji 5-lecia działalności specjalistyczny jobboard theprotocol.it przeanalizował zmiany w zakresie świadczeń pozapłacowych w ogłoszeniach publikowanych od 2021 do 2026 roku.</w:t>
      </w:r>
    </w:p>
    <w:p w:rsidR="00000000" w:rsidDel="00000000" w:rsidP="00000000" w:rsidRDefault="00000000" w:rsidRPr="00000000" w14:paraId="00000006">
      <w:pPr>
        <w:spacing w:after="0" w:before="24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Jeszcze kilka lat temu benefity były rekrutacyjnym wabikiem – branża przeżywała swój złoty wiek, a firmy prześcigały się w sposobach przyciągania talentów. </w:t>
      </w:r>
      <w:r w:rsidDel="00000000" w:rsidR="00000000" w:rsidRPr="00000000">
        <w:rPr>
          <w:rFonts w:ascii="Proxima Nova" w:cs="Proxima Nova" w:eastAsia="Proxima Nova" w:hAnsi="Proxima Nova"/>
          <w:b w:val="1"/>
          <w:bCs w:val="1"/>
          <w:sz w:val="20"/>
          <w:szCs w:val="20"/>
          <w:rtl w:val="0"/>
        </w:rPr>
        <w:t xml:space="preserve">Organizacje chętnie eksponowały takie udogodnienia jak dostęp do strefy relaksu</w:t>
      </w:r>
      <w:r w:rsidDel="00000000" w:rsidR="00000000" w:rsidRPr="00000000">
        <w:rPr>
          <w:rFonts w:ascii="Proxima Nova" w:cs="Proxima Nova" w:eastAsia="Proxima Nova" w:hAnsi="Proxima Nova"/>
          <w:sz w:val="20"/>
          <w:szCs w:val="20"/>
          <w:rtl w:val="0"/>
        </w:rPr>
        <w:t xml:space="preserve"> (37% ogłoszeń w 2021 r.) czy gier wideo (18% ogłoszeń w 2021 r.).</w:t>
      </w:r>
    </w:p>
    <w:p w:rsidR="00000000" w:rsidDel="00000000" w:rsidP="00000000" w:rsidRDefault="00000000" w:rsidRPr="00000000" w14:paraId="00000007">
      <w:pPr>
        <w:spacing w:after="0" w:before="24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W kolejnych latach, czyli już po rekrutacyjnym boomie, ale przy utrzymującym się niedoborze talentów oraz luce kompetencyjnej, </w:t>
      </w:r>
      <w:r w:rsidDel="00000000" w:rsidR="00000000" w:rsidRPr="00000000">
        <w:rPr>
          <w:rFonts w:ascii="Proxima Nova" w:cs="Proxima Nova" w:eastAsia="Proxima Nova" w:hAnsi="Proxima Nova"/>
          <w:b w:val="1"/>
          <w:bCs w:val="1"/>
          <w:sz w:val="20"/>
          <w:szCs w:val="20"/>
          <w:rtl w:val="0"/>
        </w:rPr>
        <w:t xml:space="preserve">benefity coraz silniej wspierały działania retencyjne firm</w:t>
      </w:r>
      <w:r w:rsidDel="00000000" w:rsidR="00000000" w:rsidRPr="00000000">
        <w:rPr>
          <w:rFonts w:ascii="Proxima Nova" w:cs="Proxima Nova" w:eastAsia="Proxima Nova" w:hAnsi="Proxima Nova"/>
          <w:sz w:val="20"/>
          <w:szCs w:val="20"/>
          <w:rtl w:val="0"/>
        </w:rPr>
        <w:t xml:space="preserve">. Równolegle zmniejszała się widoczność w ogłoszeniach świadczeń o wysokim potencjale wizerunkowym. Jeden z największych spadków w tej grupie odnotowały strefy relaksu: z 37% w 2021 roku do 19% w 2026 roku. I choć wiele benefitów związanych z życiem biurowym traciło na znaczeniu, </w:t>
      </w:r>
      <w:r w:rsidDel="00000000" w:rsidR="00000000" w:rsidRPr="00000000">
        <w:rPr>
          <w:rFonts w:ascii="Proxima Nova" w:cs="Proxima Nova" w:eastAsia="Proxima Nova" w:hAnsi="Proxima Nova"/>
          <w:b w:val="1"/>
          <w:bCs w:val="1"/>
          <w:sz w:val="20"/>
          <w:szCs w:val="20"/>
          <w:rtl w:val="0"/>
        </w:rPr>
        <w:t xml:space="preserve">spotkania integracyjne pozostały jednym z najbardziej stabilnych elementów ogłoszeń w IT</w:t>
      </w:r>
      <w:r w:rsidDel="00000000" w:rsidR="00000000" w:rsidRPr="00000000">
        <w:rPr>
          <w:rFonts w:ascii="Proxima Nova" w:cs="Proxima Nova" w:eastAsia="Proxima Nova" w:hAnsi="Proxima Nova"/>
          <w:sz w:val="20"/>
          <w:szCs w:val="20"/>
          <w:rtl w:val="0"/>
        </w:rPr>
        <w:t xml:space="preserve"> (65% w 2021 r.; zaledwie 0,84 p.p. mniej w 2026 r.).</w:t>
      </w:r>
    </w:p>
    <w:p w:rsidR="00000000" w:rsidDel="00000000" w:rsidP="00000000" w:rsidRDefault="00000000" w:rsidRPr="00000000" w14:paraId="00000008">
      <w:pPr>
        <w:spacing w:after="0" w:before="24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Jednak niezależnie od koniunktury rdzeń pakietu stanowiły świadczenia podstawowe: prywatna opieka medyczna, karta sportowa i ubezpieczenie na życie. Z czasem tylko utrwaliły się jako rynkowy standard, a ich brak w ogłoszeniu bywa sygnałem ostrzegawczym i jednym z powodów do rezygnacji z udziału w procesie rekrutacyjnym.</w:t>
      </w:r>
      <w:r w:rsidDel="00000000" w:rsidR="00000000" w:rsidRPr="00000000">
        <w:rPr>
          <w:rtl w:val="0"/>
        </w:rPr>
      </w:r>
    </w:p>
    <w:p w:rsidR="00000000" w:rsidDel="00000000" w:rsidP="00000000" w:rsidRDefault="00000000" w:rsidRPr="00000000" w14:paraId="00000009">
      <w:pPr>
        <w:numPr>
          <w:ilvl w:val="0"/>
          <w:numId w:val="2"/>
        </w:numPr>
        <w:spacing w:after="0" w:before="240" w:line="276" w:lineRule="auto"/>
        <w:ind w:left="720" w:hanging="360"/>
        <w:rPr>
          <w:rFonts w:ascii="Proxima Nova" w:cs="Proxima Nova" w:eastAsia="Proxima Nova" w:hAnsi="Proxima Nova"/>
          <w:i w:val="1"/>
          <w:iCs w:val="1"/>
          <w:sz w:val="20"/>
          <w:szCs w:val="20"/>
        </w:rPr>
      </w:pPr>
      <w:r w:rsidDel="00000000" w:rsidR="00000000" w:rsidRPr="00000000">
        <w:rPr>
          <w:rFonts w:ascii="Proxima Nova" w:cs="Proxima Nova" w:eastAsia="Proxima Nova" w:hAnsi="Proxima Nova"/>
          <w:i w:val="1"/>
          <w:iCs w:val="1"/>
          <w:sz w:val="20"/>
          <w:szCs w:val="20"/>
          <w:rtl w:val="0"/>
        </w:rPr>
        <w:t xml:space="preserve">W pozycji najpopularniejszych benefitów widać pewien paradoks. To zwykle oczywisty, niemal przezroczysty, element oferty. Dopiero gdy ich nie ma, najbardziej dostrzegamy ich wartość, ponieważ kandydat jako konsument indywidualny nie jest w stanie otrzymać warunków porównywalnych z ofertą grupową wynegocjowaną przez firmę. Nie obowiązują go też ulgi podatkowe, z których mogą korzystać pracodawcy. Organizacje powinny podkreślać te wartości w swojej komunikacji benefitów do kandydatów i pracowników</w:t>
      </w:r>
      <w:r w:rsidDel="00000000" w:rsidR="00000000" w:rsidRPr="00000000">
        <w:rPr>
          <w:rFonts w:ascii="Proxima Nova" w:cs="Proxima Nova" w:eastAsia="Proxima Nova" w:hAnsi="Proxima Nova"/>
          <w:sz w:val="20"/>
          <w:szCs w:val="20"/>
          <w:rtl w:val="0"/>
        </w:rPr>
        <w:t xml:space="preserve"> – zauważa </w:t>
      </w:r>
      <w:r w:rsidDel="00000000" w:rsidR="00000000" w:rsidRPr="00000000">
        <w:rPr>
          <w:rFonts w:ascii="Proxima Nova" w:cs="Proxima Nova" w:eastAsia="Proxima Nova" w:hAnsi="Proxima Nova"/>
          <w:b w:val="1"/>
          <w:bCs w:val="1"/>
          <w:sz w:val="20"/>
          <w:szCs w:val="20"/>
          <w:rtl w:val="0"/>
        </w:rPr>
        <w:t xml:space="preserve">Alicja Wierzbowska, Starsza Specjalistka ds. Rekrutacji i Marki Pracodawcy w theprotocol.it</w:t>
      </w:r>
      <w:r w:rsidDel="00000000" w:rsidR="00000000" w:rsidRPr="00000000">
        <w:rPr>
          <w:rFonts w:ascii="Proxima Nova" w:cs="Proxima Nova" w:eastAsia="Proxima Nova" w:hAnsi="Proxima Nova"/>
          <w:sz w:val="20"/>
          <w:szCs w:val="20"/>
          <w:rtl w:val="0"/>
        </w:rPr>
        <w:t xml:space="preserve"> w Grupie Pracuj.</w:t>
      </w:r>
    </w:p>
    <w:p w:rsidR="00000000" w:rsidDel="00000000" w:rsidP="00000000" w:rsidRDefault="00000000" w:rsidRPr="00000000" w14:paraId="0000000A">
      <w:pPr>
        <w:spacing w:after="0" w:before="240" w:line="276" w:lineRule="auto"/>
        <w:ind w:left="0" w:firstLine="0"/>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sz w:val="24"/>
          <w:szCs w:val="24"/>
          <w:rtl w:val="0"/>
        </w:rPr>
        <w:t xml:space="preserve">Branża IT dojrzewa razem z pracownikami</w:t>
      </w:r>
      <w:r w:rsidDel="00000000" w:rsidR="00000000" w:rsidRPr="00000000">
        <w:rPr>
          <w:rtl w:val="0"/>
        </w:rPr>
      </w:r>
    </w:p>
    <w:p w:rsidR="00000000" w:rsidDel="00000000" w:rsidP="00000000" w:rsidRDefault="00000000" w:rsidRPr="00000000" w14:paraId="0000000B">
      <w:pPr>
        <w:spacing w:after="0" w:before="240" w:line="276" w:lineRule="auto"/>
        <w:ind w:left="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Obecnie, w warunkach stabilizacji rynku, świadczenia pozapłacowe mają wnosić konkretną wartość – zarówno z perspektywy kandydata i pracownika, jak i pracodawcy. Dane theprotocol.it pokazują, że </w:t>
      </w:r>
      <w:r w:rsidDel="00000000" w:rsidR="00000000" w:rsidRPr="00000000">
        <w:rPr>
          <w:rFonts w:ascii="Proxima Nova" w:cs="Proxima Nova" w:eastAsia="Proxima Nova" w:hAnsi="Proxima Nova"/>
          <w:b w:val="1"/>
          <w:bCs w:val="1"/>
          <w:sz w:val="20"/>
          <w:szCs w:val="20"/>
          <w:rtl w:val="0"/>
        </w:rPr>
        <w:t xml:space="preserve">benefity odpowiadające na faktyczne potrzeby pracowników </w:t>
      </w:r>
      <w:r w:rsidDel="00000000" w:rsidR="00000000" w:rsidRPr="00000000">
        <w:rPr>
          <w:rFonts w:ascii="Proxima Nova" w:cs="Proxima Nova" w:eastAsia="Proxima Nova" w:hAnsi="Proxima Nova"/>
          <w:sz w:val="20"/>
          <w:szCs w:val="20"/>
          <w:rtl w:val="0"/>
        </w:rPr>
        <w:t xml:space="preserve">oraz aktualną sytuację ekonomiczną (wysokie koszty życia i spowalniające budżety podwyżkowe) utrzymują swój wysoki status. Jednocześnie rośnie świadomość pracowników: aż 83% z nich oczekuje otwartej komunikacji i transparentnych zasad wynagradzania</w:t>
      </w:r>
      <w:r w:rsidDel="00000000" w:rsidR="00000000" w:rsidRPr="00000000">
        <w:rPr>
          <w:rFonts w:ascii="Proxima Nova" w:cs="Proxima Nova" w:eastAsia="Proxima Nova" w:hAnsi="Proxima Nova"/>
          <w:sz w:val="20"/>
          <w:szCs w:val="20"/>
          <w:vertAlign w:val="superscript"/>
        </w:rPr>
        <w:footnoteReference w:customMarkFollows="0" w:id="0"/>
      </w:r>
      <w:r w:rsidDel="00000000" w:rsidR="00000000" w:rsidRPr="00000000">
        <w:rPr>
          <w:rFonts w:ascii="Proxima Nova" w:cs="Proxima Nova" w:eastAsia="Proxima Nova" w:hAnsi="Proxima Nova"/>
          <w:sz w:val="20"/>
          <w:szCs w:val="20"/>
          <w:rtl w:val="0"/>
        </w:rPr>
        <w:t xml:space="preserve">.</w:t>
      </w:r>
    </w:p>
    <w:p w:rsidR="00000000" w:rsidDel="00000000" w:rsidP="00000000" w:rsidRDefault="00000000" w:rsidRPr="00000000" w14:paraId="0000000C">
      <w:pPr>
        <w:spacing w:after="0" w:before="240" w:line="276" w:lineRule="auto"/>
        <w:ind w:left="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W ciągu ostatnich 5 lat najmocniej wzrosły benefity takie jak: </w:t>
      </w:r>
    </w:p>
    <w:p w:rsidR="00000000" w:rsidDel="00000000" w:rsidP="00000000" w:rsidRDefault="00000000" w:rsidRPr="00000000" w14:paraId="0000000D">
      <w:pPr>
        <w:numPr>
          <w:ilvl w:val="0"/>
          <w:numId w:val="1"/>
        </w:numPr>
        <w:spacing w:after="0" w:afterAutospacing="0" w:before="240" w:line="276"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fundusz oszczędnościowy (+6,23 p.p.), </w:t>
      </w:r>
    </w:p>
    <w:p w:rsidR="00000000" w:rsidDel="00000000" w:rsidP="00000000" w:rsidRDefault="00000000" w:rsidRPr="00000000" w14:paraId="0000000E">
      <w:pPr>
        <w:numPr>
          <w:ilvl w:val="0"/>
          <w:numId w:val="1"/>
        </w:numPr>
        <w:spacing w:after="0" w:afterAutospacing="0" w:before="0" w:beforeAutospacing="0" w:line="276"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dodatkowy urlop (+5,79 p.p.), </w:t>
      </w:r>
    </w:p>
    <w:p w:rsidR="00000000" w:rsidDel="00000000" w:rsidP="00000000" w:rsidRDefault="00000000" w:rsidRPr="00000000" w14:paraId="0000000F">
      <w:pPr>
        <w:numPr>
          <w:ilvl w:val="0"/>
          <w:numId w:val="1"/>
        </w:numPr>
        <w:spacing w:after="0" w:afterAutospacing="0" w:before="0" w:beforeAutospacing="0" w:line="276"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świadczenia socjalne (+5,08 p.p.), </w:t>
      </w:r>
    </w:p>
    <w:p w:rsidR="00000000" w:rsidDel="00000000" w:rsidP="00000000" w:rsidRDefault="00000000" w:rsidRPr="00000000" w14:paraId="00000010">
      <w:pPr>
        <w:numPr>
          <w:ilvl w:val="0"/>
          <w:numId w:val="1"/>
        </w:numPr>
        <w:spacing w:after="0" w:before="0" w:beforeAutospacing="0" w:line="276"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dofinansowanie wypoczynku (+3,62 p.p.).</w:t>
      </w:r>
    </w:p>
    <w:p w:rsidR="00000000" w:rsidDel="00000000" w:rsidP="00000000" w:rsidRDefault="00000000" w:rsidRPr="00000000" w14:paraId="00000011">
      <w:pPr>
        <w:spacing w:after="0" w:before="240" w:line="276" w:lineRule="auto"/>
        <w:ind w:left="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Widać więc pragmatyzację podejścia na rynku IT. </w:t>
      </w:r>
      <w:r w:rsidDel="00000000" w:rsidR="00000000" w:rsidRPr="00000000">
        <w:rPr>
          <w:rFonts w:ascii="Proxima Nova" w:cs="Proxima Nova" w:eastAsia="Proxima Nova" w:hAnsi="Proxima Nova"/>
          <w:b w:val="1"/>
          <w:bCs w:val="1"/>
          <w:sz w:val="20"/>
          <w:szCs w:val="20"/>
          <w:rtl w:val="0"/>
        </w:rPr>
        <w:t xml:space="preserve">Pracodawcy coraz częściej odpowiadają na potrzebę czasu i regeneracji oraz wsparcia bezpieczeństwa finansowego</w:t>
      </w:r>
      <w:r w:rsidDel="00000000" w:rsidR="00000000" w:rsidRPr="00000000">
        <w:rPr>
          <w:rFonts w:ascii="Proxima Nova" w:cs="Proxima Nova" w:eastAsia="Proxima Nova" w:hAnsi="Proxima Nova"/>
          <w:sz w:val="20"/>
          <w:szCs w:val="20"/>
          <w:rtl w:val="0"/>
        </w:rPr>
        <w:t xml:space="preserve">, a mniej skupiają się na atrakcyjnym wizerunku biura. Coraz rzadziej też budują przewagę samą liczbą benefitów – ważniejsza jest ich jakość oraz efektywność, zwłaszcza wobec mniejszych budżetów na świadczenia.</w:t>
      </w:r>
    </w:p>
    <w:p w:rsidR="00000000" w:rsidDel="00000000" w:rsidP="00000000" w:rsidRDefault="00000000" w:rsidRPr="00000000" w14:paraId="00000012">
      <w:pPr>
        <w:numPr>
          <w:ilvl w:val="0"/>
          <w:numId w:val="2"/>
        </w:numPr>
        <w:spacing w:after="0" w:before="240" w:line="276" w:lineRule="auto"/>
        <w:ind w:left="720" w:hanging="360"/>
        <w:rPr>
          <w:rFonts w:ascii="Proxima Nova" w:cs="Proxima Nova" w:eastAsia="Proxima Nova" w:hAnsi="Proxima Nova"/>
          <w:i w:val="1"/>
          <w:iCs w:val="1"/>
          <w:sz w:val="20"/>
          <w:szCs w:val="20"/>
        </w:rPr>
      </w:pPr>
      <w:r w:rsidDel="00000000" w:rsidR="00000000" w:rsidRPr="00000000">
        <w:rPr>
          <w:rFonts w:ascii="Proxima Nova" w:cs="Proxima Nova" w:eastAsia="Proxima Nova" w:hAnsi="Proxima Nova"/>
          <w:i w:val="1"/>
          <w:iCs w:val="1"/>
          <w:sz w:val="20"/>
          <w:szCs w:val="20"/>
          <w:rtl w:val="0"/>
        </w:rPr>
        <w:t xml:space="preserve">Pięcioletnia perspektywa obserwacji rynku pracy w sektorze tech przez theprotocol.it od środka uwidacznia zgodność ewolucji pakietów świadczeń z dynamiką zmian rynkowych. Firmy bardziej świadomie inwestują w benefity, a pracownicy coraz częściej oceniają ich rzeczywistą wartość. Dla pracowników sektora IT ważniejsza jest uczciwa komunikacja i konkretne rozwiązania ułatwiające życie poza pracą. Ten kierunek wzmacniają również zmiany regulacyjne, które zobowiązują pracodawców do większej transparentności płacowej </w:t>
      </w:r>
      <w:r w:rsidDel="00000000" w:rsidR="00000000" w:rsidRPr="00000000">
        <w:rPr>
          <w:rFonts w:ascii="Proxima Nova" w:cs="Proxima Nova" w:eastAsia="Proxima Nova" w:hAnsi="Proxima Nova"/>
          <w:sz w:val="20"/>
          <w:szCs w:val="20"/>
          <w:rtl w:val="0"/>
        </w:rPr>
        <w:t xml:space="preserve">– podkreśla </w:t>
      </w:r>
      <w:r w:rsidDel="00000000" w:rsidR="00000000" w:rsidRPr="00000000">
        <w:rPr>
          <w:rFonts w:ascii="Proxima Nova" w:cs="Proxima Nova" w:eastAsia="Proxima Nova" w:hAnsi="Proxima Nova"/>
          <w:b w:val="1"/>
          <w:bCs w:val="1"/>
          <w:sz w:val="20"/>
          <w:szCs w:val="20"/>
          <w:rtl w:val="0"/>
        </w:rPr>
        <w:t xml:space="preserve">Joanna Dylicka, Menedżer Zespołu ds. Procesów Obsługi Klienta w theprotocol.it</w:t>
      </w:r>
      <w:r w:rsidDel="00000000" w:rsidR="00000000" w:rsidRPr="00000000">
        <w:rPr>
          <w:rFonts w:ascii="Proxima Nova" w:cs="Proxima Nova" w:eastAsia="Proxima Nova" w:hAnsi="Proxima Nova"/>
          <w:sz w:val="20"/>
          <w:szCs w:val="20"/>
          <w:rtl w:val="0"/>
        </w:rPr>
        <w:t xml:space="preserve">.</w:t>
      </w:r>
    </w:p>
    <w:p w:rsidR="00000000" w:rsidDel="00000000" w:rsidP="00000000" w:rsidRDefault="00000000" w:rsidRPr="00000000" w14:paraId="00000013">
      <w:pPr>
        <w:spacing w:after="0" w:before="240" w:line="276" w:lineRule="auto"/>
        <w:ind w:left="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 więcej, dojrzewanie rynku sprawia, że benefity takie jak pakiet medyczny, karta sportowa, czy ubezpieczenie na życie powoli wychodzą z roli przezroczystego dla kandydatów standardu.</w:t>
      </w:r>
    </w:p>
    <w:p w:rsidR="00000000" w:rsidDel="00000000" w:rsidP="00000000" w:rsidRDefault="00000000" w:rsidRPr="00000000" w14:paraId="00000014">
      <w:pPr>
        <w:numPr>
          <w:ilvl w:val="0"/>
          <w:numId w:val="2"/>
        </w:numPr>
        <w:spacing w:after="0" w:before="240" w:line="276" w:lineRule="auto"/>
        <w:ind w:left="720" w:hanging="360"/>
        <w:rPr>
          <w:rFonts w:ascii="Proxima Nova" w:cs="Proxima Nova" w:eastAsia="Proxima Nova" w:hAnsi="Proxima Nova"/>
          <w:i w:val="1"/>
          <w:iCs w:val="1"/>
          <w:sz w:val="20"/>
          <w:szCs w:val="20"/>
        </w:rPr>
      </w:pPr>
      <w:r w:rsidDel="00000000" w:rsidR="00000000" w:rsidRPr="00000000">
        <w:rPr>
          <w:rFonts w:ascii="Proxima Nova" w:cs="Proxima Nova" w:eastAsia="Proxima Nova" w:hAnsi="Proxima Nova"/>
          <w:i w:val="1"/>
          <w:iCs w:val="1"/>
          <w:sz w:val="20"/>
          <w:szCs w:val="20"/>
          <w:rtl w:val="0"/>
        </w:rPr>
        <w:t xml:space="preserve">Dziś, przy stabilizacji wynagrodzeń w branży i dyrektywie dotyczącej równości płac, ciężar rozmowy o benefitach przesuwa się w stronę Total Rewards Statement, czyli komunikacji pełnej wartości oferty. To istotna zmiana, bo pracownicy często nadal nie mają świadomości, z jakimi korzyściami wiąże się pakiet świadczeń </w:t>
      </w:r>
      <w:r w:rsidDel="00000000" w:rsidR="00000000" w:rsidRPr="00000000">
        <w:rPr>
          <w:rFonts w:ascii="Proxima Nova" w:cs="Proxima Nova" w:eastAsia="Proxima Nova" w:hAnsi="Proxima Nova"/>
          <w:sz w:val="20"/>
          <w:szCs w:val="20"/>
          <w:rtl w:val="0"/>
        </w:rPr>
        <w:t xml:space="preserve">– dodaje </w:t>
      </w:r>
      <w:r w:rsidDel="00000000" w:rsidR="00000000" w:rsidRPr="00000000">
        <w:rPr>
          <w:rFonts w:ascii="Proxima Nova" w:cs="Proxima Nova" w:eastAsia="Proxima Nova" w:hAnsi="Proxima Nova"/>
          <w:b w:val="1"/>
          <w:bCs w:val="1"/>
          <w:sz w:val="20"/>
          <w:szCs w:val="20"/>
          <w:rtl w:val="0"/>
        </w:rPr>
        <w:t xml:space="preserve">Alicja Wierzbowska</w:t>
      </w:r>
      <w:r w:rsidDel="00000000" w:rsidR="00000000" w:rsidRPr="00000000">
        <w:rPr>
          <w:rFonts w:ascii="Proxima Nova" w:cs="Proxima Nova" w:eastAsia="Proxima Nova" w:hAnsi="Proxima Nova"/>
          <w:sz w:val="20"/>
          <w:szCs w:val="20"/>
          <w:rtl w:val="0"/>
        </w:rPr>
        <w:t xml:space="preserve">.</w:t>
      </w:r>
    </w:p>
    <w:p w:rsidR="00000000" w:rsidDel="00000000" w:rsidP="00000000" w:rsidRDefault="00000000" w:rsidRPr="00000000" w14:paraId="00000015">
      <w:pPr>
        <w:spacing w:after="0" w:before="24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sz w:val="24"/>
          <w:szCs w:val="24"/>
          <w:rtl w:val="0"/>
        </w:rPr>
        <w:t xml:space="preserve">Gdy benefit przestaje być benefitem</w:t>
      </w:r>
      <w:r w:rsidDel="00000000" w:rsidR="00000000" w:rsidRPr="00000000">
        <w:rPr>
          <w:rtl w:val="0"/>
        </w:rPr>
      </w:r>
    </w:p>
    <w:p w:rsidR="00000000" w:rsidDel="00000000" w:rsidP="00000000" w:rsidRDefault="00000000" w:rsidRPr="00000000" w14:paraId="00000016">
      <w:pPr>
        <w:spacing w:after="0" w:before="240" w:line="276" w:lineRule="auto"/>
        <w:ind w:left="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Niektóre świadczenia nie tyle straciły na znaczeniu, ile zmieniły swój status. Najlepszym przykładem jest praca zdalna, która jeszcze kilka lat temu była jednym z najważniejszych benefitów w branży IT. Dziś często funkcjonuje jako element organizacji pracy.</w:t>
      </w:r>
    </w:p>
    <w:p w:rsidR="00000000" w:rsidDel="00000000" w:rsidP="00000000" w:rsidRDefault="00000000" w:rsidRPr="00000000" w14:paraId="00000017">
      <w:pPr>
        <w:spacing w:after="0" w:before="240" w:line="276" w:lineRule="auto"/>
        <w:ind w:left="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Potwierdzają to dane theprotocol.it. Udział </w:t>
      </w:r>
      <w:r w:rsidDel="00000000" w:rsidR="00000000" w:rsidRPr="00000000">
        <w:rPr>
          <w:rFonts w:ascii="Proxima Nova" w:cs="Proxima Nova" w:eastAsia="Proxima Nova" w:hAnsi="Proxima Nova"/>
          <w:b w:val="1"/>
          <w:bCs w:val="1"/>
          <w:sz w:val="20"/>
          <w:szCs w:val="20"/>
          <w:rtl w:val="0"/>
        </w:rPr>
        <w:t xml:space="preserve">pracy zdalnej w ogłoszeniach jako benefitu spadł z 61% w 2021 roku do 40% w 2026 roku</w:t>
      </w:r>
      <w:r w:rsidDel="00000000" w:rsidR="00000000" w:rsidRPr="00000000">
        <w:rPr>
          <w:rFonts w:ascii="Proxima Nova" w:cs="Proxima Nova" w:eastAsia="Proxima Nova" w:hAnsi="Proxima Nova"/>
          <w:sz w:val="20"/>
          <w:szCs w:val="20"/>
          <w:rtl w:val="0"/>
        </w:rPr>
        <w:t xml:space="preserve">. Jednocześnie liczba ofert z pracą zdalną w pierwszym kwartale 2026 roku była o 16% wyższa niż rok wcześniej, a ofert z modelem hybrydowym wzrosła aż o 35%. To pokazuje, że odchodzimy od postrzegania elastyczności jako benefitu – zmienia się jej miejsce w ofercie: z listy świadczeń przesuwa się do podstawowych informacji o trybie pracy.</w:t>
      </w:r>
    </w:p>
    <w:p w:rsidR="00000000" w:rsidDel="00000000" w:rsidP="00000000" w:rsidRDefault="00000000" w:rsidRPr="00000000" w14:paraId="00000018">
      <w:pPr>
        <w:spacing w:after="0" w:before="240" w:line="276" w:lineRule="auto"/>
        <w:ind w:left="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Ten proces przyspieszyło dodatkowo uregulowanie pracy zdalnej w Kodeksie pracy. Podobnie dzieje się w przypadku elastycznego czasu pracy czy workation – szczególnie w przypadku współpracy B2B. Dla wielu, zwłaszcza doświadczonych, specjalistów IT są to elementy definiujące jakość warunków współpracy.</w:t>
      </w:r>
    </w:p>
    <w:p w:rsidR="00000000" w:rsidDel="00000000" w:rsidP="00000000" w:rsidRDefault="00000000" w:rsidRPr="00000000" w14:paraId="00000019">
      <w:pPr>
        <w:numPr>
          <w:ilvl w:val="0"/>
          <w:numId w:val="2"/>
        </w:numPr>
        <w:spacing w:after="0" w:before="240" w:line="276" w:lineRule="auto"/>
        <w:ind w:left="720" w:hanging="360"/>
        <w:rPr>
          <w:rFonts w:ascii="Proxima Nova" w:cs="Proxima Nova" w:eastAsia="Proxima Nova" w:hAnsi="Proxima Nova"/>
          <w:i w:val="1"/>
          <w:iCs w:val="1"/>
          <w:sz w:val="20"/>
          <w:szCs w:val="20"/>
        </w:rPr>
      </w:pPr>
      <w:r w:rsidDel="00000000" w:rsidR="00000000" w:rsidRPr="00000000">
        <w:rPr>
          <w:rFonts w:ascii="Proxima Nova" w:cs="Proxima Nova" w:eastAsia="Proxima Nova" w:hAnsi="Proxima Nova"/>
          <w:i w:val="1"/>
          <w:iCs w:val="1"/>
          <w:sz w:val="20"/>
          <w:szCs w:val="20"/>
          <w:rtl w:val="0"/>
        </w:rPr>
        <w:t xml:space="preserve">Zmiana statusu pracy zdalnej tylko potwierdza, jak ważna jest dziś jakość oferty. Dlatego w theprotocol.it każde ogłoszenie przed publikacją w serwisie przechodzi weryfikację. Nasi eksperci analizują nie tylko jego poprawność, ale także to, czy najważniejsze i najciekawsze elementy oferty są odpowiednio wyeksponowane. Jeśli widzimy benefity lub warunki współpracy, które mogą mieć szczególne znaczenie dla kandydatów, rekomendujemy klientom sposób ich prezentacji. To element transparentnej komunikacji, która pomaga szybciej ocenić dopasowanie po obu stronach procesu rekrutacyjnego </w:t>
      </w:r>
      <w:r w:rsidDel="00000000" w:rsidR="00000000" w:rsidRPr="00000000">
        <w:rPr>
          <w:rFonts w:ascii="Proxima Nova" w:cs="Proxima Nova" w:eastAsia="Proxima Nova" w:hAnsi="Proxima Nova"/>
          <w:sz w:val="20"/>
          <w:szCs w:val="20"/>
          <w:rtl w:val="0"/>
        </w:rPr>
        <w:t xml:space="preserve">– wyjaśnia </w:t>
      </w:r>
      <w:r w:rsidDel="00000000" w:rsidR="00000000" w:rsidRPr="00000000">
        <w:rPr>
          <w:rFonts w:ascii="Proxima Nova" w:cs="Proxima Nova" w:eastAsia="Proxima Nova" w:hAnsi="Proxima Nova"/>
          <w:b w:val="1"/>
          <w:bCs w:val="1"/>
          <w:sz w:val="20"/>
          <w:szCs w:val="20"/>
          <w:rtl w:val="0"/>
        </w:rPr>
        <w:t xml:space="preserve">Joanna Dylicka</w:t>
      </w:r>
      <w:r w:rsidDel="00000000" w:rsidR="00000000" w:rsidRPr="00000000">
        <w:rPr>
          <w:rFonts w:ascii="Proxima Nova" w:cs="Proxima Nova" w:eastAsia="Proxima Nova" w:hAnsi="Proxima Nova"/>
          <w:sz w:val="20"/>
          <w:szCs w:val="20"/>
          <w:rtl w:val="0"/>
        </w:rPr>
        <w:t xml:space="preserve">.</w:t>
      </w:r>
    </w:p>
    <w:p w:rsidR="00000000" w:rsidDel="00000000" w:rsidP="00000000" w:rsidRDefault="00000000" w:rsidRPr="00000000" w14:paraId="0000001A">
      <w:pPr>
        <w:spacing w:after="0" w:before="24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sz w:val="24"/>
          <w:szCs w:val="24"/>
          <w:rtl w:val="0"/>
        </w:rPr>
        <w:t xml:space="preserve">Firmy stawiają na wartość benefitów</w:t>
      </w:r>
      <w:r w:rsidDel="00000000" w:rsidR="00000000" w:rsidRPr="00000000">
        <w:rPr>
          <w:rtl w:val="0"/>
        </w:rPr>
      </w:r>
    </w:p>
    <w:p w:rsidR="00000000" w:rsidDel="00000000" w:rsidP="00000000" w:rsidRDefault="00000000" w:rsidRPr="00000000" w14:paraId="0000001B">
      <w:pPr>
        <w:spacing w:after="0" w:before="240" w:line="276" w:lineRule="auto"/>
        <w:ind w:left="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Profil benefitów dominujących w ogłoszeniach to kolejny, obok widełek w ofertach o pracę, wskaźnik coraz większej dojrzałości branży IT. To nie przypadek, że świadczenia takie jak ubezpieczenie na życie przetrwały próbę czasu i benefitowego hype’u.</w:t>
      </w:r>
    </w:p>
    <w:p w:rsidR="00000000" w:rsidDel="00000000" w:rsidP="00000000" w:rsidRDefault="00000000" w:rsidRPr="00000000" w14:paraId="0000001C">
      <w:pPr>
        <w:spacing w:after="0" w:before="240" w:line="276" w:lineRule="auto"/>
        <w:ind w:firstLine="72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Jak podkreśla </w:t>
      </w:r>
      <w:r w:rsidDel="00000000" w:rsidR="00000000" w:rsidRPr="00000000">
        <w:rPr>
          <w:rFonts w:ascii="Proxima Nova" w:cs="Proxima Nova" w:eastAsia="Proxima Nova" w:hAnsi="Proxima Nova"/>
          <w:b w:val="1"/>
          <w:bCs w:val="1"/>
          <w:sz w:val="20"/>
          <w:szCs w:val="20"/>
          <w:rtl w:val="0"/>
        </w:rPr>
        <w:t xml:space="preserve">Piotr Trzmiel, Dyrektor ds. rozwoju biznesu w theprotocol.it</w:t>
      </w:r>
      <w:r w:rsidDel="00000000" w:rsidR="00000000" w:rsidRPr="00000000">
        <w:rPr>
          <w:rFonts w:ascii="Proxima Nova" w:cs="Proxima Nova" w:eastAsia="Proxima Nova" w:hAnsi="Proxima Nova"/>
          <w:sz w:val="20"/>
          <w:szCs w:val="20"/>
          <w:rtl w:val="0"/>
        </w:rPr>
        <w:t xml:space="preserve">:</w:t>
      </w:r>
    </w:p>
    <w:p w:rsidR="00000000" w:rsidDel="00000000" w:rsidP="00000000" w:rsidRDefault="00000000" w:rsidRPr="00000000" w14:paraId="0000001D">
      <w:pPr>
        <w:numPr>
          <w:ilvl w:val="0"/>
          <w:numId w:val="2"/>
        </w:numPr>
        <w:spacing w:after="0" w:before="240" w:line="276" w:lineRule="auto"/>
        <w:ind w:left="720" w:hanging="360"/>
        <w:rPr>
          <w:rFonts w:ascii="Proxima Nova" w:cs="Proxima Nova" w:eastAsia="Proxima Nova" w:hAnsi="Proxima Nova"/>
          <w:i w:val="1"/>
          <w:iCs w:val="1"/>
          <w:sz w:val="20"/>
          <w:szCs w:val="20"/>
        </w:rPr>
      </w:pPr>
      <w:r w:rsidDel="00000000" w:rsidR="00000000" w:rsidRPr="00000000">
        <w:rPr>
          <w:rFonts w:ascii="Proxima Nova" w:cs="Proxima Nova" w:eastAsia="Proxima Nova" w:hAnsi="Proxima Nova"/>
          <w:i w:val="1"/>
          <w:iCs w:val="1"/>
          <w:sz w:val="20"/>
          <w:szCs w:val="20"/>
          <w:rtl w:val="0"/>
        </w:rPr>
        <w:t xml:space="preserve">W theprotocol.it widzimy, jak równolegle w ogłoszeniach zmniejszała się widoczność świadczeń o wysokim potencjale wizerunkowym. Większy udział benefitów, które wspierają pracownika, sprawia, że łatwiej ocenić zwrot z inwestycji, uwzględnić je w Total Rewards Statement i odpowiednio zakomunikować ich wartość zespołowi – nawet jeśli dane świadczenie ma mniejszy potencjał PR-owy. To pokazuje też większą świadomość branży i traktowanie benefitów jako integralnego składnika oferty, która ostatecznie powinna się przełożyć na większą efektywność biznesu.</w:t>
      </w:r>
    </w:p>
    <w:p w:rsidR="00000000" w:rsidDel="00000000" w:rsidP="00000000" w:rsidRDefault="00000000" w:rsidRPr="00000000" w14:paraId="0000001E">
      <w:pPr>
        <w:spacing w:after="0" w:line="276" w:lineRule="auto"/>
        <w:rPr>
          <w:rFonts w:ascii="Fira Code" w:cs="Fira Code" w:eastAsia="Fira Code" w:hAnsi="Fira Code"/>
          <w:sz w:val="20"/>
          <w:szCs w:val="20"/>
        </w:rPr>
      </w:pPr>
      <w:r w:rsidDel="00000000" w:rsidR="00000000" w:rsidRPr="00000000">
        <w:rPr>
          <w:rtl w:val="0"/>
        </w:rPr>
      </w:r>
    </w:p>
    <w:p w:rsidR="00000000" w:rsidDel="00000000" w:rsidP="00000000" w:rsidRDefault="00000000" w:rsidRPr="00000000" w14:paraId="0000001F">
      <w:pPr>
        <w:tabs>
          <w:tab w:val="left" w:leader="none" w:pos="3685"/>
        </w:tabs>
        <w:rPr>
          <w:rFonts w:ascii="Arial" w:cs="Arial" w:eastAsia="Arial" w:hAnsi="Arial"/>
          <w:b w:val="1"/>
          <w:bCs w:val="1"/>
          <w:sz w:val="24"/>
          <w:szCs w:val="24"/>
        </w:rPr>
        <w:sectPr>
          <w:headerReference r:id="rId8" w:type="default"/>
          <w:footerReference r:id="rId9" w:type="default"/>
          <w:pgSz w:h="16838" w:w="11906" w:orient="portrait"/>
          <w:pgMar w:bottom="1417" w:top="1417" w:left="1417" w:right="1417" w:header="708" w:footer="708"/>
          <w:pgNumType w:start="1"/>
        </w:sectPr>
      </w:pPr>
      <w:r w:rsidDel="00000000" w:rsidR="00000000" w:rsidRPr="00000000">
        <w:rPr>
          <w:rFonts w:ascii="Fira Code" w:cs="Fira Code" w:eastAsia="Fira Code" w:hAnsi="Fira Code"/>
          <w:b w:val="1"/>
          <w:bCs w:val="1"/>
          <w:sz w:val="20"/>
          <w:szCs w:val="20"/>
          <w:rtl w:val="0"/>
        </w:rPr>
        <w:t xml:space="preserve">Kontakt dla mediów</w:t>
      </w:r>
      <w:r w:rsidDel="00000000" w:rsidR="00000000" w:rsidRPr="00000000">
        <w:rPr>
          <w:rtl w:val="0"/>
        </w:rPr>
      </w:r>
    </w:p>
    <w:p w:rsidR="00000000" w:rsidDel="00000000" w:rsidP="00000000" w:rsidRDefault="00000000" w:rsidRPr="00000000" w14:paraId="00000020">
      <w:pPr>
        <w:spacing w:line="278.00000000000006" w:lineRule="auto"/>
        <w:rPr>
          <w:rFonts w:ascii="Fira Code" w:cs="Fira Code" w:eastAsia="Fira Code" w:hAnsi="Fira Code"/>
          <w:sz w:val="20"/>
          <w:szCs w:val="20"/>
        </w:rPr>
      </w:pPr>
      <w:r w:rsidDel="00000000" w:rsidR="00000000" w:rsidRPr="00000000">
        <w:rPr>
          <w:rFonts w:ascii="Fira Code" w:cs="Fira Code" w:eastAsia="Fira Code" w:hAnsi="Fira Code"/>
          <w:sz w:val="20"/>
          <w:szCs w:val="20"/>
          <w:rtl w:val="0"/>
        </w:rPr>
        <w:t xml:space="preserve">Agata Stasik</w:t>
        <w:br w:type="textWrapping"/>
        <w:t xml:space="preserve">mail:</w:t>
      </w:r>
      <w:r w:rsidDel="00000000" w:rsidR="00000000" w:rsidRPr="00000000">
        <w:rPr>
          <w:rFonts w:ascii="Fira Code" w:cs="Fira Code" w:eastAsia="Fira Code" w:hAnsi="Fira Code"/>
          <w:color w:val="467886"/>
          <w:sz w:val="20"/>
          <w:szCs w:val="20"/>
          <w:rtl w:val="0"/>
        </w:rPr>
        <w:t xml:space="preserve"> </w:t>
      </w:r>
      <w:r w:rsidDel="00000000" w:rsidR="00000000" w:rsidRPr="00000000">
        <w:rPr>
          <w:rFonts w:ascii="Fira Code" w:cs="Fira Code" w:eastAsia="Fira Code" w:hAnsi="Fira Code"/>
          <w:sz w:val="20"/>
          <w:szCs w:val="20"/>
          <w:rtl w:val="0"/>
        </w:rPr>
        <w:t xml:space="preserve">a.stasik@conceptpr.pl </w:t>
        <w:br w:type="textWrapping"/>
        <w:t xml:space="preserve">tel. 798 624 102</w:t>
      </w:r>
    </w:p>
    <w:p w:rsidR="00000000" w:rsidDel="00000000" w:rsidP="00000000" w:rsidRDefault="00000000" w:rsidRPr="00000000" w14:paraId="00000021">
      <w:pPr>
        <w:spacing w:line="278.00000000000006" w:lineRule="auto"/>
        <w:rPr>
          <w:rFonts w:ascii="Fira Code" w:cs="Fira Code" w:eastAsia="Fira Code" w:hAnsi="Fira Code"/>
          <w:sz w:val="16"/>
          <w:szCs w:val="16"/>
        </w:rPr>
        <w:sectPr>
          <w:type w:val="continuous"/>
          <w:pgSz w:h="16838" w:w="11906" w:orient="portrait"/>
          <w:pgMar w:bottom="1417" w:top="1417" w:left="1417" w:right="1417" w:header="708" w:footer="708"/>
          <w:cols w:equalWidth="0" w:num="2">
            <w:col w:space="708" w:w="4181.999999999999"/>
            <w:col w:space="0" w:w="4181.999999999999"/>
          </w:cols>
        </w:sectPr>
      </w:pPr>
      <w:r w:rsidDel="00000000" w:rsidR="00000000" w:rsidRPr="00000000">
        <w:rPr>
          <w:rFonts w:ascii="Fira Code" w:cs="Fira Code" w:eastAsia="Fira Code" w:hAnsi="Fira Code"/>
          <w:sz w:val="20"/>
          <w:szCs w:val="20"/>
          <w:rtl w:val="0"/>
        </w:rPr>
        <w:t xml:space="preserve">Anna Michałowicz</w:t>
        <w:br w:type="textWrapping"/>
        <w:t xml:space="preserve">mail: a.michalowicz@conceptpr.pl</w:t>
        <w:br w:type="textWrapping"/>
        <w:t xml:space="preserve">tel. 504 872 746</w:t>
      </w:r>
      <w:r w:rsidDel="00000000" w:rsidR="00000000" w:rsidRPr="00000000">
        <w:rPr>
          <w:rtl w:val="0"/>
        </w:rPr>
      </w:r>
    </w:p>
    <w:p w:rsidR="00000000" w:rsidDel="00000000" w:rsidP="00000000" w:rsidRDefault="00000000" w:rsidRPr="00000000" w14:paraId="00000022">
      <w:pPr>
        <w:tabs>
          <w:tab w:val="left" w:leader="none" w:pos="3685"/>
        </w:tabs>
        <w:rPr>
          <w:rFonts w:ascii="Fira Code" w:cs="Fira Code" w:eastAsia="Fira Code" w:hAnsi="Fira Code"/>
          <w:sz w:val="20"/>
          <w:szCs w:val="20"/>
        </w:rPr>
      </w:pPr>
      <w:r w:rsidDel="00000000" w:rsidR="00000000" w:rsidRPr="00000000">
        <w:rPr>
          <w:rtl w:val="0"/>
        </w:rPr>
      </w:r>
    </w:p>
    <w:p w:rsidR="00000000" w:rsidDel="00000000" w:rsidP="00000000" w:rsidRDefault="00000000" w:rsidRPr="00000000" w14:paraId="00000023">
      <w:pPr>
        <w:tabs>
          <w:tab w:val="left" w:leader="none" w:pos="3685"/>
        </w:tabs>
        <w:rPr>
          <w:rFonts w:ascii="Fira Code" w:cs="Fira Code" w:eastAsia="Fira Code" w:hAnsi="Fira Code"/>
          <w:b w:val="1"/>
          <w:bCs w:val="1"/>
          <w:sz w:val="20"/>
          <w:szCs w:val="20"/>
        </w:rPr>
      </w:pPr>
      <w:r w:rsidDel="00000000" w:rsidR="00000000" w:rsidRPr="00000000">
        <w:rPr>
          <w:rFonts w:ascii="Fira Code" w:cs="Fira Code" w:eastAsia="Fira Code" w:hAnsi="Fira Code"/>
          <w:b w:val="1"/>
          <w:bCs w:val="1"/>
          <w:sz w:val="20"/>
          <w:szCs w:val="20"/>
          <w:rtl w:val="0"/>
        </w:rPr>
        <w:t xml:space="preserve">O theprotocol.it </w:t>
      </w:r>
    </w:p>
    <w:p w:rsidR="00000000" w:rsidDel="00000000" w:rsidP="00000000" w:rsidRDefault="00000000" w:rsidRPr="00000000" w14:paraId="00000024">
      <w:pPr>
        <w:tabs>
          <w:tab w:val="left" w:leader="none" w:pos="3685"/>
        </w:tabs>
        <w:rPr>
          <w:rFonts w:ascii="Proxima Nova" w:cs="Proxima Nova" w:eastAsia="Proxima Nova" w:hAnsi="Proxima Nova"/>
          <w:sz w:val="20"/>
          <w:szCs w:val="20"/>
        </w:rPr>
      </w:pPr>
      <w:r w:rsidDel="00000000" w:rsidR="00000000" w:rsidRPr="00000000">
        <w:rPr>
          <w:rFonts w:ascii="Fira Code" w:cs="Fira Code" w:eastAsia="Fira Code" w:hAnsi="Fira Code"/>
          <w:sz w:val="20"/>
          <w:szCs w:val="20"/>
          <w:rtl w:val="0"/>
        </w:rPr>
        <w:t xml:space="preserve">theprotocol.it to specjalistyczny jobboard IT łączący ekspertów technologicznych z czołowymi pracodawcami w Polsce. Serwis powstał dla wymagającego rynku IT, zaprojektowany zgodnie z potrzebami wysokiej klasy specjalistów i firm rekrutujących. Wyróżnia się nowoczesnym designem z trybem „darkmode” oraz intuicyjnym interfejsem opartym na badaniach użytkowników. Kandydatom oferuje konkretne informacje o projektach i widełkach wynagrodzeń oraz precyzyjne filtry i rozwiązania AI przyspieszające znalezienie dopasowanych ofert. Pracodawcom zapewnia dostęp do wyspecjalizowanej społeczności IT, wsparcie employer brandingowe, dedykowanego opiekuna i zaawansowane narzędzia rekrutacyjne. theprotocol.it rozwija się w synergii z Grupą Pracuj, która od 25 lat współtworzy rynek pracy w Polsce.</w:t>
      </w:r>
      <w:r w:rsidDel="00000000" w:rsidR="00000000" w:rsidRPr="00000000">
        <w:rPr>
          <w:rtl w:val="0"/>
        </w:rPr>
      </w:r>
    </w:p>
    <w:sectPr>
      <w:type w:val="continuous"/>
      <w:pgSz w:h="16838" w:w="11906"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ra Code">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Fira Code" w:cs="Fira Code" w:eastAsia="Fira Code" w:hAnsi="Fira Code"/>
        <w:b w:val="0"/>
        <w:bCs w:val="0"/>
        <w:i w:val="0"/>
        <w:iCs w:val="0"/>
        <w:smallCaps w:val="0"/>
        <w:strike w:val="0"/>
        <w:color w:val="000000"/>
        <w:sz w:val="16"/>
        <w:szCs w:val="16"/>
        <w:u w:val="none"/>
        <w:shd w:fill="auto" w:val="clear"/>
        <w:vertAlign w:val="baseline"/>
      </w:rPr>
    </w:pPr>
    <w:r w:rsidDel="00000000" w:rsidR="00000000" w:rsidRPr="00000000">
      <w:rPr>
        <w:rFonts w:ascii="Fira Code" w:cs="Fira Code" w:eastAsia="Fira Code" w:hAnsi="Fira Code"/>
        <w:b w:val="0"/>
        <w:bCs w:val="0"/>
        <w:i w:val="0"/>
        <w:iCs w:val="0"/>
        <w:smallCaps w:val="0"/>
        <w:strike w:val="0"/>
        <w:color w:val="000000"/>
        <w:sz w:val="16"/>
        <w:szCs w:val="16"/>
        <w:u w:val="none"/>
        <w:shd w:fill="auto" w:val="clear"/>
        <w:vertAlign w:val="baseline"/>
        <w:rtl w:val="0"/>
      </w:rPr>
      <w:t xml:space="preserve">Grupa Pracuj S.A. | ul. Prosta 68, 00-838 Warszawa, Polska</w:t>
      <w:br w:type="textWrapping"/>
      <w:t xml:space="preserve">tel. </w:t>
    </w:r>
    <w:hyperlink r:id="rId1">
      <w:r w:rsidDel="00000000" w:rsidR="00000000" w:rsidRPr="00000000">
        <w:rPr>
          <w:rFonts w:ascii="Fira Code" w:cs="Fira Code" w:eastAsia="Fira Code" w:hAnsi="Fira Code"/>
          <w:b w:val="0"/>
          <w:bCs w:val="0"/>
          <w:i w:val="0"/>
          <w:iCs w:val="0"/>
          <w:smallCaps w:val="0"/>
          <w:strike w:val="0"/>
          <w:color w:val="000000"/>
          <w:sz w:val="16"/>
          <w:szCs w:val="16"/>
          <w:u w:val="none"/>
          <w:shd w:fill="auto" w:val="clear"/>
          <w:vertAlign w:val="baseline"/>
          <w:rtl w:val="0"/>
        </w:rPr>
        <w:t xml:space="preserve">(22) 37 37 300</w:t>
      </w:r>
    </w:hyperlink>
    <w:r w:rsidDel="00000000" w:rsidR="00000000" w:rsidRPr="00000000">
      <w:rPr>
        <w:rFonts w:ascii="Fira Code" w:cs="Fira Code" w:eastAsia="Fira Code" w:hAnsi="Fira Code"/>
        <w:b w:val="0"/>
        <w:bCs w:val="0"/>
        <w:i w:val="0"/>
        <w:iCs w:val="0"/>
        <w:smallCaps w:val="0"/>
        <w:strike w:val="0"/>
        <w:color w:val="000000"/>
        <w:sz w:val="16"/>
        <w:szCs w:val="16"/>
        <w:u w:val="none"/>
        <w:shd w:fill="auto" w:val="clear"/>
        <w:vertAlign w:val="baseline"/>
        <w:rtl w:val="0"/>
      </w:rPr>
      <w:br w:type="textWrapping"/>
    </w:r>
    <w:hyperlink r:id="rId2">
      <w:r w:rsidDel="00000000" w:rsidR="00000000" w:rsidRPr="00000000">
        <w:rPr>
          <w:rFonts w:ascii="Fira Code" w:cs="Fira Code" w:eastAsia="Fira Code" w:hAnsi="Fira Code"/>
          <w:b w:val="0"/>
          <w:bCs w:val="0"/>
          <w:i w:val="0"/>
          <w:iCs w:val="0"/>
          <w:smallCaps w:val="0"/>
          <w:strike w:val="0"/>
          <w:color w:val="0563c1"/>
          <w:sz w:val="16"/>
          <w:szCs w:val="16"/>
          <w:u w:val="single"/>
          <w:shd w:fill="auto" w:val="clear"/>
          <w:vertAlign w:val="baseline"/>
          <w:rtl w:val="0"/>
        </w:rPr>
        <w:t xml:space="preserve">marketing@theprotocol.it</w:t>
      </w:r>
    </w:hyperlink>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5607050</wp:posOffset>
          </wp:positionH>
          <wp:positionV relativeFrom="paragraph">
            <wp:posOffset>6985</wp:posOffset>
          </wp:positionV>
          <wp:extent cx="151765" cy="324485"/>
          <wp:effectExtent b="0" l="0" r="0" t="0"/>
          <wp:wrapNone/>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51765" cy="324485"/>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8">
      <w:pPr>
        <w:spacing w:after="0" w:line="240" w:lineRule="auto"/>
        <w:rPr>
          <w:rFonts w:ascii="Proxima Nova" w:cs="Proxima Nova" w:eastAsia="Proxima Nova" w:hAnsi="Proxima Nova"/>
          <w:sz w:val="18"/>
          <w:szCs w:val="18"/>
        </w:rPr>
      </w:pPr>
      <w:r w:rsidDel="00000000" w:rsidR="00000000" w:rsidRPr="00000000">
        <w:rPr>
          <w:rStyle w:val="FootnoteReference"/>
          <w:vertAlign w:val="superscript"/>
        </w:rPr>
        <w:footnoteRef/>
      </w:r>
      <w:r w:rsidDel="00000000" w:rsidR="00000000" w:rsidRPr="00000000">
        <w:rPr>
          <w:rFonts w:ascii="Proxima Nova" w:cs="Proxima Nova" w:eastAsia="Proxima Nova" w:hAnsi="Proxima Nova"/>
          <w:sz w:val="18"/>
          <w:szCs w:val="18"/>
          <w:rtl w:val="0"/>
        </w:rPr>
        <w:t xml:space="preserve"> </w:t>
      </w:r>
      <w:hyperlink r:id="rId1">
        <w:r w:rsidDel="00000000" w:rsidR="00000000" w:rsidRPr="00000000">
          <w:rPr>
            <w:rFonts w:ascii="Proxima Nova" w:cs="Proxima Nova" w:eastAsia="Proxima Nova" w:hAnsi="Proxima Nova"/>
            <w:color w:val="1155cc"/>
            <w:sz w:val="18"/>
            <w:szCs w:val="18"/>
            <w:u w:val="single"/>
            <w:rtl w:val="0"/>
          </w:rPr>
          <w:t xml:space="preserve">https://wynagrodzenia.pl/informacje-prasowe/oczekiwania-pracownikow-w-2026-roku</w:t>
        </w:r>
      </w:hyperlink>
      <w:r w:rsidDel="00000000" w:rsidR="00000000" w:rsidRPr="00000000">
        <w:rPr>
          <w:rFonts w:ascii="Proxima Nova" w:cs="Proxima Nova" w:eastAsia="Proxima Nova" w:hAnsi="Proxima Nova"/>
          <w:sz w:val="18"/>
          <w:szCs w:val="18"/>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tabs>
        <w:tab w:val="center" w:leader="none" w:pos="4536"/>
        <w:tab w:val="right" w:leader="none" w:pos="9072"/>
      </w:tabs>
      <w:spacing w:after="0" w:line="240" w:lineRule="auto"/>
      <w:rPr>
        <w:color w:val="000000"/>
      </w:rPr>
    </w:pPr>
    <w:r w:rsidDel="00000000" w:rsidR="00000000" w:rsidRPr="00000000">
      <w:rPr/>
      <w:drawing>
        <wp:inline distB="114300" distT="114300" distL="114300" distR="114300">
          <wp:extent cx="1803067" cy="49815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03067" cy="49815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FiraCode-regular.ttf"/><Relationship Id="rId6" Type="http://schemas.openxmlformats.org/officeDocument/2006/relationships/font" Target="fonts/FiraCode-bold.ttf"/></Relationships>
</file>

<file path=word/_rels/footer1.xml.rels><?xml version="1.0" encoding="UTF-8" standalone="yes"?><Relationships xmlns="http://schemas.openxmlformats.org/package/2006/relationships"><Relationship Id="rId1" Type="http://schemas.openxmlformats.org/officeDocument/2006/relationships/hyperlink" Target="tel:(22)3737300" TargetMode="External"/><Relationship Id="rId2" Type="http://schemas.openxmlformats.org/officeDocument/2006/relationships/hyperlink" Target="mailto:marketing@theprotocol.it" TargetMode="External"/><Relationship Id="rId3"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ynagrodzenia.pl/informacje-prasowe/oczekiwania-pracownikow-w-2026-ro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vLTzbf73qwtxVnOzFFQ2S4h6lQ==">CgMxLjA4AHIhMTBxbGlSR2pKYjdtZjlqM0RvSzBsNlJ2cll4LVpWeXM4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2024-04-19T12:47:46Z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29e0b99e-e8ee-4990-bf44-a6c606b962a2</vt:lpwstr>
  </property>
  <property fmtid="{D5CDD505-2E9C-101B-9397-08002B2CF9AE}" pid="8" name="MSIP_Label_ea60d57e-af5b-4752-ac57-3e4f28ca11dc_ContentBits">
    <vt:lpwstr>0</vt:lpwstr>
  </property>
  <property fmtid="{D5CDD505-2E9C-101B-9397-08002B2CF9AE}" pid="9" name="ContentTypeId">
    <vt:lpwstr>0x010100C8CA6F5CADFDF540BBC1FDC37835B519</vt:lpwstr>
  </property>
</Properties>
</file>