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BB43E" w14:textId="77777777" w:rsidR="00AE70F1" w:rsidRDefault="00000000">
      <w:r>
        <w:t>Informacja prasowa</w:t>
      </w:r>
    </w:p>
    <w:p w14:paraId="35AE8ECF" w14:textId="26753C58" w:rsidR="00AE70F1" w:rsidRDefault="00000000">
      <w:pPr>
        <w:jc w:val="right"/>
      </w:pPr>
      <w:r>
        <w:t xml:space="preserve">Warszawa, </w:t>
      </w:r>
      <w:r w:rsidR="00613EAA">
        <w:t>24</w:t>
      </w:r>
      <w:r>
        <w:t xml:space="preserve">.06.2026 r. </w:t>
      </w:r>
    </w:p>
    <w:p w14:paraId="04A95E57" w14:textId="77777777" w:rsidR="00AE70F1" w:rsidRDefault="00000000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Niemal 87 proc. napojów w dyskontach już z kaucją. </w:t>
      </w:r>
      <w:proofErr w:type="spellStart"/>
      <w:r>
        <w:rPr>
          <w:b/>
          <w:bCs/>
          <w:sz w:val="32"/>
          <w:szCs w:val="32"/>
        </w:rPr>
        <w:t>eLeader</w:t>
      </w:r>
      <w:proofErr w:type="spellEnd"/>
      <w:r>
        <w:rPr>
          <w:b/>
          <w:bCs/>
          <w:sz w:val="32"/>
          <w:szCs w:val="32"/>
        </w:rPr>
        <w:t xml:space="preserve"> dzieli się nowymi danymi o strukturze opakowań na sklepowych półkach</w:t>
      </w:r>
    </w:p>
    <w:p w14:paraId="7094D97D" w14:textId="25959CB1" w:rsidR="00AE70F1" w:rsidRDefault="00000000" w:rsidP="002D49BB">
      <w:pPr>
        <w:jc w:val="both"/>
        <w:rPr>
          <w:b/>
          <w:bCs/>
        </w:rPr>
      </w:pPr>
      <w:r>
        <w:rPr>
          <w:b/>
          <w:bCs/>
        </w:rPr>
        <w:t xml:space="preserve">Kaucja przestała być nowością. </w:t>
      </w:r>
      <w:r w:rsidR="001D76D6">
        <w:rPr>
          <w:b/>
          <w:bCs/>
        </w:rPr>
        <w:t xml:space="preserve">Pomimo początkowego sceptycyzmu konsumentów i branży </w:t>
      </w:r>
      <w:r>
        <w:rPr>
          <w:b/>
          <w:bCs/>
        </w:rPr>
        <w:t xml:space="preserve">stała się już rynkowym standardem. Najnowsze dane firmy </w:t>
      </w:r>
      <w:proofErr w:type="spellStart"/>
      <w:r>
        <w:rPr>
          <w:b/>
          <w:bCs/>
        </w:rPr>
        <w:t>eLeader</w:t>
      </w:r>
      <w:proofErr w:type="spellEnd"/>
      <w:r>
        <w:rPr>
          <w:b/>
          <w:bCs/>
        </w:rPr>
        <w:t xml:space="preserve">, dostarczającej rozwiązania do automatyzacji pracy przedstawicieli handlowych, pokazują, że wbrew wcześniejszym obawom system kaucyjny nie ograniczył </w:t>
      </w:r>
      <w:r w:rsidR="005850DE">
        <w:rPr>
          <w:b/>
          <w:bCs/>
        </w:rPr>
        <w:t xml:space="preserve">obecności </w:t>
      </w:r>
      <w:r>
        <w:rPr>
          <w:b/>
          <w:bCs/>
        </w:rPr>
        <w:t xml:space="preserve">butelek PET. </w:t>
      </w:r>
      <w:r w:rsidR="002D49BB">
        <w:rPr>
          <w:b/>
          <w:bCs/>
        </w:rPr>
        <w:t>Z</w:t>
      </w:r>
      <w:r>
        <w:rPr>
          <w:b/>
          <w:bCs/>
        </w:rPr>
        <w:t>arówno w dyskontach, jak i w hipermarketach ich udział rośnie,</w:t>
      </w:r>
      <w:r w:rsidR="002D49BB">
        <w:rPr>
          <w:b/>
          <w:bCs/>
        </w:rPr>
        <w:t xml:space="preserve"> ale</w:t>
      </w:r>
      <w:r>
        <w:rPr>
          <w:b/>
          <w:bCs/>
        </w:rPr>
        <w:t xml:space="preserve"> kierunek zmian okazuje się różny. </w:t>
      </w:r>
    </w:p>
    <w:p w14:paraId="19687EDB" w14:textId="7078F931" w:rsidR="00AE70F1" w:rsidRDefault="002D49BB" w:rsidP="00B049CC">
      <w:pPr>
        <w:jc w:val="both"/>
      </w:pPr>
      <w:r>
        <w:t xml:space="preserve">Na świecie </w:t>
      </w:r>
      <w:r w:rsidR="005850DE">
        <w:t>z systemu kaucyjnego</w:t>
      </w:r>
      <w:r>
        <w:t xml:space="preserve"> </w:t>
      </w:r>
      <w:r w:rsidRPr="00B049CC">
        <w:t>korzysta już 180 mln Europejczyków</w:t>
      </w:r>
      <w:r>
        <w:t>, a to</w:t>
      </w:r>
      <w:r w:rsidRPr="00B049CC">
        <w:t xml:space="preserve"> stanowi ponad jedną czwartą populacji naszego kontynentu.</w:t>
      </w:r>
      <w:r>
        <w:rPr>
          <w:rStyle w:val="Odwoanieprzypisudolnego"/>
        </w:rPr>
        <w:footnoteReference w:id="1"/>
      </w:r>
      <w:r w:rsidR="005850DE">
        <w:t xml:space="preserve"> </w:t>
      </w:r>
      <w:r w:rsidR="005850DE" w:rsidRPr="00B049CC">
        <w:t xml:space="preserve">Z początkiem października 2025 r. </w:t>
      </w:r>
      <w:r w:rsidR="005850DE">
        <w:t>r</w:t>
      </w:r>
      <w:r w:rsidR="005850DE" w:rsidRPr="00B049CC">
        <w:t>uszył</w:t>
      </w:r>
      <w:r w:rsidR="005850DE">
        <w:t xml:space="preserve"> i</w:t>
      </w:r>
      <w:r w:rsidR="005850DE" w:rsidRPr="00B049CC">
        <w:t xml:space="preserve"> w </w:t>
      </w:r>
      <w:r w:rsidR="005850DE">
        <w:t>Polsce, początkowo budząc pytania dotyczące logistyki i akceptacji konsumentów.</w:t>
      </w:r>
      <w:r w:rsidR="005850DE" w:rsidRPr="002D49BB">
        <w:t xml:space="preserve"> </w:t>
      </w:r>
      <w:r w:rsidR="00B049CC">
        <w:t>D</w:t>
      </w:r>
      <w:r>
        <w:t xml:space="preserve">ziś te regulacje coraz wyraźniej wpływają na strukturę </w:t>
      </w:r>
      <w:r w:rsidR="0077675E">
        <w:t>ekspozycji</w:t>
      </w:r>
      <w:r>
        <w:t xml:space="preserve"> w polskich sklepach. </w:t>
      </w:r>
      <w:proofErr w:type="spellStart"/>
      <w:r>
        <w:t>eLeader</w:t>
      </w:r>
      <w:proofErr w:type="spellEnd"/>
      <w:r>
        <w:t xml:space="preserve"> przeanalizował układ półki z napojami w dwóch okresach - latem 2025 roku oraz wiosną 2026 roku, sprawdzając, jak zmieniają się proporcje formatów opakowań w hipermarketach i dyskontach. Z danych firmy wynika, że w dyskontach </w:t>
      </w:r>
      <w:r w:rsidR="00ED3AD9">
        <w:t xml:space="preserve">opakowania kaucyjne stanowią już </w:t>
      </w:r>
      <w:r w:rsidR="001D76D6" w:rsidRPr="001D76D6">
        <w:t>niemal 9 na 10 napojów dostępnych na półce</w:t>
      </w:r>
      <w:r w:rsidR="001D76D6">
        <w:t>. S</w:t>
      </w:r>
      <w:r>
        <w:t xml:space="preserve">woją pozycję </w:t>
      </w:r>
      <w:r w:rsidR="0077675E">
        <w:t xml:space="preserve">w tym kanale sprzedaży </w:t>
      </w:r>
      <w:r>
        <w:t xml:space="preserve">umocniła </w:t>
      </w:r>
      <w:r w:rsidR="001D76D6">
        <w:t xml:space="preserve">też </w:t>
      </w:r>
      <w:r>
        <w:t>butelka PET, której udział w ekspozycji półkowej wzrósł. Z kolei w hipermarketach na znaczeniu wyraźnie zyskuje puszka.</w:t>
      </w:r>
      <w:r w:rsidR="001D76D6">
        <w:t xml:space="preserve"> R</w:t>
      </w:r>
      <w:r>
        <w:t xml:space="preserve">ynek napojów dostosował się </w:t>
      </w:r>
      <w:r w:rsidR="001D76D6">
        <w:t xml:space="preserve">więc </w:t>
      </w:r>
      <w:r>
        <w:t>do regulacji, ale nie reaguje na nie w jednolity sposób.</w:t>
      </w:r>
    </w:p>
    <w:p w14:paraId="58D76782" w14:textId="77777777" w:rsidR="00AE70F1" w:rsidRDefault="00000000">
      <w:pPr>
        <w:jc w:val="both"/>
        <w:rPr>
          <w:b/>
          <w:bCs/>
        </w:rPr>
      </w:pPr>
      <w:r>
        <w:t xml:space="preserve">– </w:t>
      </w:r>
      <w:r>
        <w:rPr>
          <w:i/>
          <w:iCs/>
        </w:rPr>
        <w:t>Dane pokazują, że rynek uczy się funkcjonować z systemem kaucyjnym szybciej, niż zakładano. Wzrost znaczenia butelki PET na półkach wskazuje na to, że konsumenci adaptują się do modelu kaucji, a handel opanowuje logistykę zwrotów. System kaucyjny, pomimo niezgrabnego startu, skutecznie wymusza zmiany struktury półki i strategii producentów napojów</w:t>
      </w:r>
      <w:r>
        <w:t xml:space="preserve"> – mówi </w:t>
      </w:r>
      <w:r>
        <w:rPr>
          <w:b/>
          <w:bCs/>
        </w:rPr>
        <w:t xml:space="preserve">Paweł Majsiej, Chief of </w:t>
      </w:r>
      <w:proofErr w:type="spellStart"/>
      <w:r>
        <w:rPr>
          <w:b/>
          <w:bCs/>
        </w:rPr>
        <w:t>eLeader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Shelf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Recognition</w:t>
      </w:r>
      <w:proofErr w:type="spellEnd"/>
      <w:r>
        <w:rPr>
          <w:b/>
          <w:bCs/>
        </w:rPr>
        <w:t xml:space="preserve"> AI.</w:t>
      </w:r>
    </w:p>
    <w:p w14:paraId="1676C979" w14:textId="14623B71" w:rsidR="00DF60C4" w:rsidRDefault="00DF60C4">
      <w:pPr>
        <w:jc w:val="both"/>
        <w:rPr>
          <w:b/>
          <w:bCs/>
        </w:rPr>
      </w:pPr>
      <w:r w:rsidRPr="00DF60C4">
        <w:rPr>
          <w:b/>
          <w:bCs/>
        </w:rPr>
        <w:t xml:space="preserve">Trudny start </w:t>
      </w:r>
      <w:r w:rsidR="002D49BB">
        <w:rPr>
          <w:b/>
          <w:bCs/>
        </w:rPr>
        <w:t>systemu kaucyjnego</w:t>
      </w:r>
    </w:p>
    <w:p w14:paraId="30F2724C" w14:textId="22EE3D17" w:rsidR="00DF60C4" w:rsidRDefault="00DF60C4" w:rsidP="0077675E">
      <w:pPr>
        <w:jc w:val="both"/>
      </w:pPr>
      <w:r w:rsidRPr="00DF60C4">
        <w:t xml:space="preserve">Wdrożenie systemu kaucyjnego nie obyło się bez zakłóceń. W pierwszych tygodniach funkcjonowania nowych przepisów sklepy mierzyły się z problemami organizacyjnymi – </w:t>
      </w:r>
      <w:r w:rsidR="00BA53A0">
        <w:t>awariami automatów czy koniecznością znaczącego zaangażowania obsługi</w:t>
      </w:r>
      <w:r w:rsidRPr="00DF60C4">
        <w:t>.</w:t>
      </w:r>
      <w:r w:rsidR="00B445FC" w:rsidRPr="00B445FC">
        <w:t xml:space="preserve"> </w:t>
      </w:r>
      <w:r w:rsidR="00BA53A0">
        <w:t>Z b</w:t>
      </w:r>
      <w:r w:rsidR="00BA53A0" w:rsidRPr="00BA53A0">
        <w:t>adani</w:t>
      </w:r>
      <w:r w:rsidR="00BA53A0">
        <w:t>a</w:t>
      </w:r>
      <w:r w:rsidR="00B049CC">
        <w:t xml:space="preserve"> przeprowadzonego przez</w:t>
      </w:r>
      <w:r w:rsidR="00B445FC">
        <w:t xml:space="preserve"> </w:t>
      </w:r>
      <w:r w:rsidR="00B049CC" w:rsidRPr="00B049CC">
        <w:t>Instytut Badań Rynkowych i Społecznych</w:t>
      </w:r>
      <w:r w:rsidR="001D76D6">
        <w:t xml:space="preserve"> na zlecenie</w:t>
      </w:r>
      <w:r w:rsidR="001D76D6" w:rsidRPr="001D76D6">
        <w:t xml:space="preserve"> PR </w:t>
      </w:r>
      <w:proofErr w:type="spellStart"/>
      <w:r w:rsidR="001D76D6" w:rsidRPr="001D76D6">
        <w:t>Clear</w:t>
      </w:r>
      <w:proofErr w:type="spellEnd"/>
      <w:r w:rsidR="001D76D6" w:rsidRPr="001D76D6">
        <w:t xml:space="preserve"> </w:t>
      </w:r>
      <w:proofErr w:type="spellStart"/>
      <w:r w:rsidR="001D76D6" w:rsidRPr="001D76D6">
        <w:t>Communication</w:t>
      </w:r>
      <w:proofErr w:type="spellEnd"/>
      <w:r w:rsidR="001D76D6" w:rsidRPr="001D76D6">
        <w:t xml:space="preserve"> </w:t>
      </w:r>
      <w:proofErr w:type="spellStart"/>
      <w:r w:rsidR="001D76D6" w:rsidRPr="001D76D6">
        <w:t>Group</w:t>
      </w:r>
      <w:proofErr w:type="spellEnd"/>
      <w:r w:rsidR="00B049CC">
        <w:t xml:space="preserve"> </w:t>
      </w:r>
      <w:r w:rsidR="00B445FC">
        <w:t>wynika</w:t>
      </w:r>
      <w:r w:rsidR="001D76D6">
        <w:t>ło</w:t>
      </w:r>
      <w:r w:rsidR="00B445FC">
        <w:t xml:space="preserve">, </w:t>
      </w:r>
      <w:r w:rsidR="001D76D6">
        <w:t>ż</w:t>
      </w:r>
      <w:r w:rsidR="00B445FC">
        <w:t>e</w:t>
      </w:r>
      <w:r w:rsidR="001D76D6">
        <w:t xml:space="preserve"> </w:t>
      </w:r>
      <w:r w:rsidR="00247456">
        <w:t>aż jedna czwarta</w:t>
      </w:r>
      <w:r w:rsidR="001D76D6" w:rsidRPr="001D76D6">
        <w:t xml:space="preserve"> </w:t>
      </w:r>
      <w:r w:rsidR="001D76D6">
        <w:t>Polaków dwa tygodnie przed wejściem systemu w życie</w:t>
      </w:r>
      <w:r w:rsidR="00247456">
        <w:t xml:space="preserve"> </w:t>
      </w:r>
      <w:r w:rsidR="001D76D6">
        <w:t xml:space="preserve">nigdy wcześniej nie zetknęła się z </w:t>
      </w:r>
      <w:r w:rsidR="002D49BB">
        <w:t xml:space="preserve">tym </w:t>
      </w:r>
      <w:r w:rsidR="001D76D6">
        <w:t>tematem.</w:t>
      </w:r>
      <w:r w:rsidR="00BA53A0">
        <w:t xml:space="preserve"> </w:t>
      </w:r>
      <w:r w:rsidRPr="00DF60C4">
        <w:t xml:space="preserve">Mimo to skala problemów okazała się mniejsza niż przewidywali najwięksi sceptycy </w:t>
      </w:r>
      <w:r w:rsidR="001D76D6">
        <w:t>zmian. R</w:t>
      </w:r>
      <w:r w:rsidRPr="00DF60C4">
        <w:t xml:space="preserve">ynek stosunkowo szybko znalazł własne rozwiązania, a </w:t>
      </w:r>
      <w:r w:rsidR="0077675E">
        <w:t>w kwietniu 2026</w:t>
      </w:r>
      <w:r w:rsidR="00A31841">
        <w:t xml:space="preserve"> system kaucyjny m</w:t>
      </w:r>
      <w:r w:rsidR="0077675E">
        <w:t>iał już</w:t>
      </w:r>
      <w:r w:rsidR="00A31841">
        <w:t xml:space="preserve"> niemal stuprocentową rozpoznawalność.</w:t>
      </w:r>
      <w:r w:rsidR="00A31841">
        <w:rPr>
          <w:rStyle w:val="Odwoanieprzypisudolnego"/>
        </w:rPr>
        <w:footnoteReference w:id="2"/>
      </w:r>
    </w:p>
    <w:p w14:paraId="4E9DAD65" w14:textId="1B850BF9" w:rsidR="002D49BB" w:rsidRDefault="0077675E" w:rsidP="002D49BB">
      <w:pPr>
        <w:jc w:val="both"/>
        <w:rPr>
          <w:b/>
          <w:bCs/>
        </w:rPr>
      </w:pPr>
      <w:r w:rsidRPr="0077675E">
        <w:t xml:space="preserve">– </w:t>
      </w:r>
      <w:r w:rsidR="00613EAA" w:rsidRPr="00613EAA">
        <w:rPr>
          <w:i/>
          <w:iCs/>
        </w:rPr>
        <w:t>Pierwsze miesiące działania systemu kaucyjnego pokazały, że jego wpływ wykracza daleko poza kwestie związane ze zwrotem opakowań. Z naszej perspektywy szczególnie interesujące są zmiany zachodzące na poziomie ekspozycji i zarządzania asortymentem. W związku z kaucją sieci handlowe oraz producenci zaczęli na nowo analizować rolę poszczególnych formatów opakowań, obserwując nie tylko sprzedaż, ale również zachowania konsumentów związane z ich oddawaniem</w:t>
      </w:r>
      <w:r w:rsidR="00613EAA">
        <w:rPr>
          <w:i/>
          <w:iCs/>
        </w:rPr>
        <w:t xml:space="preserve"> </w:t>
      </w:r>
      <w:r w:rsidR="002D49BB">
        <w:t xml:space="preserve">– mówi </w:t>
      </w:r>
      <w:r w:rsidR="002D49BB">
        <w:rPr>
          <w:b/>
          <w:bCs/>
        </w:rPr>
        <w:t xml:space="preserve">Paweł Majsiej, Chief of </w:t>
      </w:r>
      <w:proofErr w:type="spellStart"/>
      <w:r w:rsidR="002D49BB">
        <w:rPr>
          <w:b/>
          <w:bCs/>
        </w:rPr>
        <w:t>eLeader</w:t>
      </w:r>
      <w:proofErr w:type="spellEnd"/>
      <w:r w:rsidR="002D49BB">
        <w:rPr>
          <w:b/>
          <w:bCs/>
        </w:rPr>
        <w:t xml:space="preserve"> </w:t>
      </w:r>
      <w:proofErr w:type="spellStart"/>
      <w:r w:rsidR="002D49BB">
        <w:rPr>
          <w:b/>
          <w:bCs/>
        </w:rPr>
        <w:t>Shelf</w:t>
      </w:r>
      <w:proofErr w:type="spellEnd"/>
      <w:r w:rsidR="002D49BB">
        <w:rPr>
          <w:b/>
          <w:bCs/>
        </w:rPr>
        <w:t xml:space="preserve"> </w:t>
      </w:r>
      <w:proofErr w:type="spellStart"/>
      <w:r w:rsidR="002D49BB">
        <w:rPr>
          <w:b/>
          <w:bCs/>
        </w:rPr>
        <w:t>Recognition</w:t>
      </w:r>
      <w:proofErr w:type="spellEnd"/>
      <w:r w:rsidR="002D49BB">
        <w:rPr>
          <w:b/>
          <w:bCs/>
        </w:rPr>
        <w:t xml:space="preserve"> AI.</w:t>
      </w:r>
    </w:p>
    <w:p w14:paraId="6EB2C7D3" w14:textId="6654646E" w:rsidR="00AE70F1" w:rsidRDefault="00000000" w:rsidP="002D49BB">
      <w:pPr>
        <w:jc w:val="both"/>
        <w:rPr>
          <w:b/>
          <w:bCs/>
        </w:rPr>
      </w:pPr>
      <w:r>
        <w:rPr>
          <w:b/>
          <w:bCs/>
        </w:rPr>
        <w:lastRenderedPageBreak/>
        <w:t>Dwa kanały sprzedaży, dwa kierunki zmian</w:t>
      </w:r>
    </w:p>
    <w:p w14:paraId="5BA8E043" w14:textId="32F5C7D1" w:rsidR="00AE70F1" w:rsidRDefault="00000000">
      <w:pPr>
        <w:jc w:val="both"/>
      </w:pPr>
      <w:r>
        <w:t>Z</w:t>
      </w:r>
      <w:r w:rsidR="002D49BB">
        <w:t xml:space="preserve"> badania </w:t>
      </w:r>
      <w:proofErr w:type="spellStart"/>
      <w:r w:rsidR="002D49BB">
        <w:t>eLeader</w:t>
      </w:r>
      <w:proofErr w:type="spellEnd"/>
      <w:r w:rsidR="002D49BB">
        <w:t xml:space="preserve"> wynika, że z</w:t>
      </w:r>
      <w:r>
        <w:t xml:space="preserve">arówno w dyskontach, jak i hipermarketach udział opakowań kaucyjnych rośnie. W tym pierwszym rodzaju sieci sięgnął już 86,8 proc. To wzrost o 0,7 </w:t>
      </w:r>
      <w:proofErr w:type="spellStart"/>
      <w:r>
        <w:t>p.p</w:t>
      </w:r>
      <w:proofErr w:type="spellEnd"/>
      <w:r>
        <w:t xml:space="preserve">. względem lata 2025. Taki wynik oznacza, że niemal każdy napój na półce objęty jest kaucją. W hipermarketach poziom jest niższy i wynosi 73,9 proc., ale kierunek zmian jest ten sam. Za wzrostem udziału opakowań kaucyjnych jednak stoją dwa wyraźnie odmienne scenariusze rozwoju formatów. W dyskontach zdecydowanie dominuje butelka PET. Jej udział zwiększył się z 72,8 proc. do 74,0 proc., podczas gdy puszka odnotowała niewielki spadek: z 13,3 proc. do 12,8 proc. Z kolei hipermarketach to właśnie puszka konsekwentnie umacnia swoją pozycję. Jej udział wzrósł z 14,8 proc. do 15,5 proc., podczas gdy butelka PET utrzymuje stabilny poziom blisko 58 proc. </w:t>
      </w:r>
      <w:r w:rsidR="00A31841">
        <w:t>Co ciekawe,</w:t>
      </w:r>
      <w:r>
        <w:t xml:space="preserve"> na półkach zaczęły się pojawiać </w:t>
      </w:r>
      <w:r w:rsidR="00A31841">
        <w:t xml:space="preserve">także </w:t>
      </w:r>
      <w:r>
        <w:t xml:space="preserve">napoje dostępne w tabletkach, co może oznaczać początek szerszych zmian w sposobie pakowania i sprzedaży napojów, wykraczających poza sam wpływ systemu kaucyjnego. </w:t>
      </w:r>
    </w:p>
    <w:p w14:paraId="78B058DB" w14:textId="77777777" w:rsidR="00AE70F1" w:rsidRDefault="00000000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A841301" wp14:editId="57D9C52F">
            <wp:extent cx="5760720" cy="324040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DC6B1" w14:textId="77777777" w:rsidR="00AE70F1" w:rsidRDefault="00000000">
      <w:pPr>
        <w:jc w:val="both"/>
        <w:rPr>
          <w:b/>
          <w:bCs/>
        </w:rPr>
      </w:pPr>
      <w:r>
        <w:rPr>
          <w:b/>
          <w:bCs/>
        </w:rPr>
        <w:t>System kaucyjny przestał być barierą</w:t>
      </w:r>
    </w:p>
    <w:p w14:paraId="62CC34F6" w14:textId="4FA57CC9" w:rsidR="00AE70F1" w:rsidRDefault="00ED3AD9">
      <w:pPr>
        <w:jc w:val="both"/>
      </w:pPr>
      <w:r>
        <w:t>Wyniki badań wskazują, że r</w:t>
      </w:r>
      <w:r w:rsidR="00A14D6F">
        <w:t>ynek wszedł już w etap, w którym system kaucyjny nie ogranicza decyzji producentów i detalistów. P</w:t>
      </w:r>
      <w:r>
        <w:t>rzestał być</w:t>
      </w:r>
      <w:r w:rsidR="00A14D6F">
        <w:t xml:space="preserve"> </w:t>
      </w:r>
      <w:r>
        <w:t xml:space="preserve">on postrzegany jako potencjalna bariera dla rynku napojów i coraz wyraźniej staje się jego nowym standardem operacyjnym. </w:t>
      </w:r>
      <w:r w:rsidR="00A14D6F">
        <w:t xml:space="preserve">Eksperci </w:t>
      </w:r>
      <w:proofErr w:type="spellStart"/>
      <w:r w:rsidR="00A14D6F">
        <w:t>eLeader</w:t>
      </w:r>
      <w:proofErr w:type="spellEnd"/>
      <w:r w:rsidR="00A14D6F">
        <w:t xml:space="preserve"> podkreślają, że </w:t>
      </w:r>
      <w:r w:rsidR="00A31841">
        <w:t>p</w:t>
      </w:r>
      <w:r>
        <w:t xml:space="preserve">roducenci nadal konsekwentnie rozwijają ofertę w butelkach PET, uznając ten format za najbardziej efektywny kosztowo i logistycznie. </w:t>
      </w:r>
      <w:r w:rsidR="00A14D6F">
        <w:t>M</w:t>
      </w:r>
      <w:r>
        <w:t>oże</w:t>
      </w:r>
      <w:r w:rsidR="00A14D6F">
        <w:t xml:space="preserve"> to</w:t>
      </w:r>
      <w:r>
        <w:t xml:space="preserve"> istotnie wpłynąć nie tylko na strategie producentów i detalistów, ale także na sposób projektowania sklepów, organizację stref zwrotów, komunikację cenową oraz logistykę opakowań. </w:t>
      </w:r>
      <w:r w:rsidR="00A14D6F">
        <w:t xml:space="preserve">Z kolei szersze otwarcie się hipermarketów na puszki może się wzmacniać przez rosnącą </w:t>
      </w:r>
      <w:r>
        <w:t>popularnoś</w:t>
      </w:r>
      <w:r w:rsidR="00A14D6F">
        <w:t>ć</w:t>
      </w:r>
      <w:r>
        <w:t xml:space="preserve"> produktów </w:t>
      </w:r>
      <w:proofErr w:type="spellStart"/>
      <w:r>
        <w:t>premium</w:t>
      </w:r>
      <w:proofErr w:type="spellEnd"/>
      <w:r>
        <w:t xml:space="preserve"> i segmentu „on the go”. </w:t>
      </w:r>
    </w:p>
    <w:p w14:paraId="4F18B834" w14:textId="77777777" w:rsidR="00AE70F1" w:rsidRDefault="00000000">
      <w:pPr>
        <w:jc w:val="both"/>
      </w:pPr>
      <w:r>
        <w:t xml:space="preserve">– </w:t>
      </w:r>
      <w:r>
        <w:rPr>
          <w:i/>
          <w:iCs/>
        </w:rPr>
        <w:t xml:space="preserve">Jeszcze kilka miesięcy temu rynek zastanawiał się przede wszystkim nad tym, czy konsumenci zaakceptują system kaucyjny i jak handel poradzi sobie z jego operacyjną stroną. Dziś widzimy, że centralne decyzje skutecznie narzucają rynkowi reguły gry. W najbliższych miesiącach będziemy obserwować, czy system kaucyjny dalej będzie wzmacniał pozycję PET, czy część konsumentów i producentów odpłynie do formatów nieobjętych kaucją (np. zyskującego popularność segmentu koncentratów do saturatorów). Na dokładną analizę rynku i szybką reakcję, która jest szczególnie ważna w momencie takich zmian, pozwolą producentom m.in. nowoczesne technologie do zarządzania sprzedażą w terenie </w:t>
      </w:r>
      <w:r>
        <w:t xml:space="preserve">– mówi </w:t>
      </w:r>
      <w:r>
        <w:rPr>
          <w:b/>
          <w:bCs/>
        </w:rPr>
        <w:t xml:space="preserve">Paweł Majsiej, Chief of </w:t>
      </w:r>
      <w:proofErr w:type="spellStart"/>
      <w:r>
        <w:rPr>
          <w:b/>
          <w:bCs/>
        </w:rPr>
        <w:t>eLeader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Shelf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Recognition</w:t>
      </w:r>
      <w:proofErr w:type="spellEnd"/>
      <w:r>
        <w:rPr>
          <w:b/>
          <w:bCs/>
        </w:rPr>
        <w:t xml:space="preserve"> AI.</w:t>
      </w:r>
    </w:p>
    <w:p w14:paraId="025F7FE1" w14:textId="77777777" w:rsidR="00AE70F1" w:rsidRDefault="00000000">
      <w:pPr>
        <w:jc w:val="both"/>
      </w:pPr>
      <w:r>
        <w:t xml:space="preserve">Analizę wykonano na podstawie danych z hipermarketów i dyskontów między lipcem a wrześniem 2025 i marcem a kwietniem 2026. Do przeprowadzenia badania użyto technologii </w:t>
      </w:r>
      <w:proofErr w:type="spellStart"/>
      <w:r>
        <w:t>Shelf</w:t>
      </w:r>
      <w:proofErr w:type="spellEnd"/>
      <w:r>
        <w:t xml:space="preserve"> </w:t>
      </w:r>
      <w:proofErr w:type="spellStart"/>
      <w:r>
        <w:t>Recognition</w:t>
      </w:r>
      <w:proofErr w:type="spellEnd"/>
      <w:r>
        <w:t xml:space="preserve"> AI, która umożliwia producentom automatyczną analizę ekspozycji jedynie za pomocą zdjęcia sklepowej półki wykonanego smartfonem. Możliwości narzędzia przedstawiają także poprzednie raporty marki, w których przeanalizowano ekspozycję piw i napojów energetyzujących. Więcej informacji o narzędziu i pozostałych raportach ekspozycji można znaleźć na stronie </w:t>
      </w:r>
      <w:proofErr w:type="spellStart"/>
      <w:r>
        <w:t>eLeader</w:t>
      </w:r>
      <w:proofErr w:type="spellEnd"/>
      <w:r>
        <w:t>.</w:t>
      </w:r>
    </w:p>
    <w:p w14:paraId="24B99E2D" w14:textId="77777777" w:rsidR="00AE70F1" w:rsidRDefault="00000000">
      <w:pPr>
        <w:jc w:val="both"/>
        <w:rPr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eLeader</w:t>
      </w:r>
      <w:proofErr w:type="spellEnd"/>
      <w:r>
        <w:rPr>
          <w:sz w:val="18"/>
          <w:szCs w:val="18"/>
        </w:rPr>
        <w:t xml:space="preserve"> to spółka technologiczna specjalizująca się w dostarczaniu narzędzi wspierających realizację strategii sprzedażowej w terenie. Opracowuje mobilne systemy SFA/FFM ze sztuczną inteligencją usprawniającą m.in. pozycjonowanie produktów na półkach oraz zarządzanie zamówieniami, audytami i reklamacjami. </w:t>
      </w:r>
      <w:proofErr w:type="spellStart"/>
      <w:r>
        <w:rPr>
          <w:sz w:val="18"/>
          <w:szCs w:val="18"/>
        </w:rPr>
        <w:t>eLeader</w:t>
      </w:r>
      <w:proofErr w:type="spellEnd"/>
      <w:r>
        <w:rPr>
          <w:sz w:val="18"/>
          <w:szCs w:val="18"/>
        </w:rPr>
        <w:t xml:space="preserve"> funkcjonuje od 2000 roku. Od tego czasu rozwiązania firmy zostały docenione przez globalne ośrodki analityczne, m.in. Gartner, POI i wdrożone przez międzynarodowe koncerny w ponad 80 krajach. Wśród klientów marki są takie firmy jak Frosta czy </w:t>
      </w:r>
      <w:proofErr w:type="spellStart"/>
      <w:r>
        <w:rPr>
          <w:sz w:val="18"/>
          <w:szCs w:val="18"/>
        </w:rPr>
        <w:t>Danone</w:t>
      </w:r>
      <w:proofErr w:type="spellEnd"/>
      <w:r>
        <w:rPr>
          <w:sz w:val="18"/>
          <w:szCs w:val="18"/>
        </w:rPr>
        <w:t xml:space="preserve">. W swoich działaniach </w:t>
      </w:r>
      <w:proofErr w:type="spellStart"/>
      <w:r>
        <w:rPr>
          <w:sz w:val="18"/>
          <w:szCs w:val="18"/>
        </w:rPr>
        <w:t>eLeader</w:t>
      </w:r>
      <w:proofErr w:type="spellEnd"/>
      <w:r>
        <w:rPr>
          <w:sz w:val="18"/>
          <w:szCs w:val="18"/>
        </w:rPr>
        <w:t xml:space="preserve"> stawia na partnerstwo oraz szerokie możliwości dostosowania się do klienta i zmian. Tworzy nowoczesne i niezawodne systemy, spełniające indywidualne potrzeby firm. Więcej informacji na temat firmy na: </w:t>
      </w:r>
      <w:hyperlink r:id="rId8">
        <w:r w:rsidR="00AE70F1">
          <w:rPr>
            <w:color w:val="0563C1"/>
            <w:sz w:val="18"/>
            <w:szCs w:val="18"/>
            <w:u w:val="single"/>
          </w:rPr>
          <w:t>https://www.eleader.biz</w:t>
        </w:r>
      </w:hyperlink>
      <w:r>
        <w:rPr>
          <w:sz w:val="18"/>
          <w:szCs w:val="18"/>
        </w:rPr>
        <w:t xml:space="preserve"> </w:t>
      </w:r>
    </w:p>
    <w:p w14:paraId="7FF5EA1B" w14:textId="77777777" w:rsidR="00AE70F1" w:rsidRDefault="00AE70F1">
      <w:pPr>
        <w:jc w:val="both"/>
        <w:rPr>
          <w:sz w:val="18"/>
          <w:szCs w:val="18"/>
        </w:rPr>
      </w:pPr>
    </w:p>
    <w:p w14:paraId="182302C6" w14:textId="77777777" w:rsidR="00AE70F1" w:rsidRDefault="00000000" w:rsidP="00613E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18"/>
          <w:szCs w:val="18"/>
          <w:highlight w:val="white"/>
        </w:rPr>
        <w:t>Kontakt dla mediów:</w:t>
      </w:r>
    </w:p>
    <w:p w14:paraId="122E2E3D" w14:textId="77777777" w:rsidR="00AE70F1" w:rsidRDefault="00000000" w:rsidP="00613EAA">
      <w:pPr>
        <w:spacing w:after="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>Joanna Kuciel</w:t>
      </w:r>
    </w:p>
    <w:p w14:paraId="10B09881" w14:textId="77777777" w:rsidR="00AE70F1" w:rsidRDefault="00000000" w:rsidP="00613EAA">
      <w:pPr>
        <w:spacing w:after="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e-mail: </w:t>
      </w:r>
      <w:hyperlink r:id="rId9">
        <w:r w:rsidR="00AE70F1">
          <w:rPr>
            <w:color w:val="0563C1"/>
            <w:sz w:val="18"/>
            <w:szCs w:val="18"/>
            <w:u w:val="single"/>
          </w:rPr>
          <w:t>joanna.kuciel@goodonepr.pl</w:t>
        </w:r>
      </w:hyperlink>
    </w:p>
    <w:p w14:paraId="61D74522" w14:textId="77777777" w:rsidR="00AE70F1" w:rsidRDefault="00000000" w:rsidP="00613EAA">
      <w:pPr>
        <w:jc w:val="right"/>
      </w:pPr>
      <w:r>
        <w:rPr>
          <w:sz w:val="18"/>
          <w:szCs w:val="18"/>
        </w:rPr>
        <w:t xml:space="preserve">Tel.: </w:t>
      </w:r>
      <w:r>
        <w:rPr>
          <w:sz w:val="18"/>
          <w:szCs w:val="18"/>
          <w:highlight w:val="white"/>
        </w:rPr>
        <w:t>+48</w:t>
      </w:r>
      <w:r>
        <w:rPr>
          <w:b/>
          <w:bCs/>
          <w:sz w:val="18"/>
          <w:szCs w:val="18"/>
          <w:highlight w:val="white"/>
        </w:rPr>
        <w:t> </w:t>
      </w:r>
      <w:r>
        <w:rPr>
          <w:sz w:val="18"/>
          <w:szCs w:val="18"/>
          <w:highlight w:val="white"/>
        </w:rPr>
        <w:t>796 996 272</w:t>
      </w:r>
    </w:p>
    <w:sectPr w:rsidR="00AE70F1">
      <w:head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8994D" w14:textId="77777777" w:rsidR="00A27142" w:rsidRDefault="00A27142">
      <w:pPr>
        <w:spacing w:after="0" w:line="240" w:lineRule="auto"/>
      </w:pPr>
      <w:r>
        <w:separator/>
      </w:r>
    </w:p>
  </w:endnote>
  <w:endnote w:type="continuationSeparator" w:id="0">
    <w:p w14:paraId="3DD53C8D" w14:textId="77777777" w:rsidR="00A27142" w:rsidRDefault="00A27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639FE7-5094-4CE9-95F5-26575E8FA703}"/>
    <w:embedBold r:id="rId2" w:fontKey="{CFBBB05F-3327-41D3-9A4C-D9969E1CBF75}"/>
    <w:embedItalic r:id="rId3" w:fontKey="{83F2C671-556C-4EE4-BABB-EAAB54396D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3AE39296-C854-4185-99E4-4A68BFE7377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6FFFADD-739C-4917-8CDE-9D8782C06E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EBC1B" w14:textId="77777777" w:rsidR="00A27142" w:rsidRDefault="00A27142">
      <w:pPr>
        <w:spacing w:after="0" w:line="240" w:lineRule="auto"/>
      </w:pPr>
      <w:r>
        <w:separator/>
      </w:r>
    </w:p>
  </w:footnote>
  <w:footnote w:type="continuationSeparator" w:id="0">
    <w:p w14:paraId="59FF05B3" w14:textId="77777777" w:rsidR="00A27142" w:rsidRDefault="00A27142">
      <w:pPr>
        <w:spacing w:after="0" w:line="240" w:lineRule="auto"/>
      </w:pPr>
      <w:r>
        <w:continuationSeparator/>
      </w:r>
    </w:p>
  </w:footnote>
  <w:footnote w:id="1">
    <w:p w14:paraId="1C7EC2F6" w14:textId="77777777" w:rsidR="002D49BB" w:rsidRPr="00B049CC" w:rsidRDefault="002D49BB" w:rsidP="002D49BB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B049CC">
        <w:t>https://www.gov.pl/web/klimat/system-kaucyjny</w:t>
      </w:r>
    </w:p>
  </w:footnote>
  <w:footnote w:id="2">
    <w:p w14:paraId="447D94FC" w14:textId="4A5D9CDD" w:rsidR="00A31841" w:rsidRPr="00A31841" w:rsidRDefault="00A31841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EC12C4">
          <w:rPr>
            <w:rStyle w:val="Hipercze"/>
          </w:rPr>
          <w:t>https://www.oigos.pl/informacje/system-kaucyjny-2026-od-lo</w:t>
        </w:r>
        <w:r w:rsidRPr="00EC12C4">
          <w:rPr>
            <w:rStyle w:val="Hipercze"/>
          </w:rPr>
          <w:t>g</w:t>
        </w:r>
        <w:r w:rsidRPr="00EC12C4">
          <w:rPr>
            <w:rStyle w:val="Hipercze"/>
          </w:rPr>
          <w:t>istycznego-wyzwania-do-przewagi-rynkowej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FE548" w14:textId="77777777" w:rsidR="00AE70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F15A617" wp14:editId="2C91AF2D">
          <wp:simplePos x="0" y="0"/>
          <wp:positionH relativeFrom="column">
            <wp:posOffset>-619124</wp:posOffset>
          </wp:positionH>
          <wp:positionV relativeFrom="paragraph">
            <wp:posOffset>-457833</wp:posOffset>
          </wp:positionV>
          <wp:extent cx="5744210" cy="1055370"/>
          <wp:effectExtent l="0" t="0" r="0" b="0"/>
          <wp:wrapNone/>
          <wp:docPr id="2" name="image2.png" descr="dokumenty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okumenty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4210" cy="1055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0F1"/>
    <w:rsid w:val="00120975"/>
    <w:rsid w:val="001D76D6"/>
    <w:rsid w:val="00247456"/>
    <w:rsid w:val="002D49BB"/>
    <w:rsid w:val="005850DE"/>
    <w:rsid w:val="00613EAA"/>
    <w:rsid w:val="0077675E"/>
    <w:rsid w:val="007E2EC1"/>
    <w:rsid w:val="00A14D6F"/>
    <w:rsid w:val="00A27142"/>
    <w:rsid w:val="00A31841"/>
    <w:rsid w:val="00AE70F1"/>
    <w:rsid w:val="00B049CC"/>
    <w:rsid w:val="00B22ADA"/>
    <w:rsid w:val="00B445FC"/>
    <w:rsid w:val="00B70C72"/>
    <w:rsid w:val="00BA53A0"/>
    <w:rsid w:val="00DC5553"/>
    <w:rsid w:val="00DF60C4"/>
    <w:rsid w:val="00ED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23963"/>
  <w15:docId w15:val="{9EB62623-CB64-4894-BEBA-014E0AC47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9C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9C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9CC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3184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184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D49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9B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9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9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9BB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474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eader.bi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oanna.kuciel@goodonepr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igos.pl/informacje/system-kaucyjny-2026-od-logistycznego-wyzwania-do-przewagi-rynkowej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YbZ7aIJxIvTAJfZ6G7mds6YZrg==">CgMxLjA4AHIhMVY3V01kd00xeEhOcHpPUm9lTkdYa3YtR1NGbDRwaUpJ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926</Words>
  <Characters>6429</Characters>
  <Application>Microsoft Office Word</Application>
  <DocSecurity>0</DocSecurity>
  <Lines>207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Zębik</dc:creator>
  <cp:lastModifiedBy>Joanna Kuciel</cp:lastModifiedBy>
  <cp:revision>2</cp:revision>
  <dcterms:created xsi:type="dcterms:W3CDTF">2026-06-24T10:35:00Z</dcterms:created>
  <dcterms:modified xsi:type="dcterms:W3CDTF">2026-06-24T10:35:00Z</dcterms:modified>
</cp:coreProperties>
</file>