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5AC6" w14:textId="77777777" w:rsidR="001C7BDA" w:rsidRDefault="001C7BDA" w:rsidP="001C7BDA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4D6F2F">
        <w:rPr>
          <w:rFonts w:ascii="Calibri" w:eastAsia="Calibri" w:hAnsi="Calibri" w:cs="Calibri"/>
          <w:b/>
          <w:bCs/>
          <w:sz w:val="22"/>
          <w:szCs w:val="22"/>
        </w:rPr>
        <w:t>Rodzinne wakacje 2026: ponad połowa rezerwacji do Turcji to wyjazdy z dziećmi</w:t>
      </w:r>
    </w:p>
    <w:p w14:paraId="367DFC15" w14:textId="77777777" w:rsidR="001C7BDA" w:rsidRDefault="001C7BDA" w:rsidP="001C7BDA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751C1DD7" w14:textId="77777777" w:rsidR="001C7BDA" w:rsidRDefault="001C7BDA" w:rsidP="001C7BDA">
      <w:pPr>
        <w:pBdr>
          <w:bottom w:val="single" w:sz="6" w:space="1" w:color="000000"/>
        </w:pBd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8AA3759">
        <w:rPr>
          <w:rFonts w:ascii="Calibri" w:eastAsia="Calibri" w:hAnsi="Calibri" w:cs="Calibri"/>
          <w:b/>
          <w:bCs/>
          <w:sz w:val="22"/>
          <w:szCs w:val="22"/>
        </w:rPr>
        <w:t>53 proc. rezerwacji do Turcji na okres wakacji szkolnych stanowią wyjazdy rodzin z jednym lub dwojgiem dzieci. To właśnie ten kraj, wraz z Egiptem i Grecją, stoi na podium najpopularniejszych kierunków na lipiec i sierpień. Jednocześnie rośnie zainteresowanie Bułgarią i Albanią, a destynacje dotąd kojarzone głównie z wyjazdami organizowanymi samodzielnie klienci coraz częściej wybierają także za pośrednictwem biur podróży.</w:t>
      </w:r>
    </w:p>
    <w:p w14:paraId="52B1BEFC" w14:textId="77777777" w:rsidR="001C7BDA" w:rsidRDefault="001C7BDA" w:rsidP="001C7BDA">
      <w:pPr>
        <w:pBdr>
          <w:bottom w:val="single" w:sz="6" w:space="1" w:color="000000"/>
        </w:pBd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7F8A962" w14:textId="77777777" w:rsidR="001C7BDA" w:rsidRDefault="001C7BDA" w:rsidP="001C7BDA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6986D44A" w14:textId="77777777" w:rsidR="001C7BDA" w:rsidRDefault="001C7BDA" w:rsidP="001C7BDA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4D6F2F">
        <w:rPr>
          <w:rFonts w:ascii="Calibri" w:eastAsia="Calibri" w:hAnsi="Calibri" w:cs="Calibri"/>
          <w:b/>
          <w:bCs/>
          <w:sz w:val="22"/>
          <w:szCs w:val="22"/>
        </w:rPr>
        <w:t>Artykuł w liczbach:</w:t>
      </w:r>
    </w:p>
    <w:p w14:paraId="20EA3ED1" w14:textId="77777777" w:rsidR="001C7BDA" w:rsidRDefault="001C7BDA" w:rsidP="001C7BDA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748B03DB" w14:textId="77777777" w:rsidR="001C7BDA" w:rsidRDefault="001C7BDA" w:rsidP="001C7BDA">
      <w:pPr>
        <w:pStyle w:val="Akapitzlist"/>
        <w:numPr>
          <w:ilvl w:val="0"/>
          <w:numId w:val="6"/>
        </w:numPr>
        <w:spacing w:after="16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6E4D6F2F">
        <w:rPr>
          <w:rFonts w:ascii="Calibri" w:eastAsia="Calibri" w:hAnsi="Calibri" w:cs="Calibri"/>
          <w:b/>
          <w:bCs/>
          <w:sz w:val="22"/>
          <w:szCs w:val="22"/>
        </w:rPr>
        <w:t>48 proc. respondentów</w:t>
      </w:r>
      <w:r w:rsidRPr="6E4D6F2F">
        <w:rPr>
          <w:rFonts w:ascii="Calibri" w:eastAsia="Calibri" w:hAnsi="Calibri" w:cs="Calibri"/>
          <w:sz w:val="22"/>
          <w:szCs w:val="22"/>
        </w:rPr>
        <w:t xml:space="preserve"> w badaniu ARC Rynek i Opinia dla Wakacje.pl deklarowało zagraniczny wyjazd w lipcu lub sierpniu.</w:t>
      </w:r>
    </w:p>
    <w:p w14:paraId="141FD4C2" w14:textId="76D6E724" w:rsidR="001C7BDA" w:rsidRDefault="001C7BDA" w:rsidP="001C7BDA">
      <w:pPr>
        <w:pStyle w:val="Akapitzlist"/>
        <w:numPr>
          <w:ilvl w:val="0"/>
          <w:numId w:val="6"/>
        </w:numPr>
        <w:spacing w:after="16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6E4D6F2F">
        <w:rPr>
          <w:rFonts w:ascii="Calibri" w:eastAsia="Calibri" w:hAnsi="Calibri" w:cs="Calibri"/>
          <w:b/>
          <w:bCs/>
          <w:sz w:val="22"/>
          <w:szCs w:val="22"/>
        </w:rPr>
        <w:t>53 proc.</w:t>
      </w:r>
      <w:r w:rsidRPr="6E4D6F2F">
        <w:rPr>
          <w:rFonts w:ascii="Calibri" w:eastAsia="Calibri" w:hAnsi="Calibri" w:cs="Calibri"/>
          <w:sz w:val="22"/>
          <w:szCs w:val="22"/>
        </w:rPr>
        <w:t xml:space="preserve"> – taki udział w rezerwacjach do Turcji w okresie wakacji szkolnych mają rodziny z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6E4D6F2F">
        <w:rPr>
          <w:rFonts w:ascii="Calibri" w:eastAsia="Calibri" w:hAnsi="Calibri" w:cs="Calibri"/>
          <w:sz w:val="22"/>
          <w:szCs w:val="22"/>
        </w:rPr>
        <w:t>jednym lub dwojgiem dzieci.</w:t>
      </w:r>
    </w:p>
    <w:p w14:paraId="2431D50B" w14:textId="77777777" w:rsidR="001C7BDA" w:rsidRDefault="001C7BDA" w:rsidP="001C7BDA">
      <w:pPr>
        <w:pStyle w:val="Akapitzlist"/>
        <w:numPr>
          <w:ilvl w:val="0"/>
          <w:numId w:val="6"/>
        </w:numPr>
        <w:spacing w:after="16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AA3759">
        <w:rPr>
          <w:rFonts w:ascii="Calibri" w:eastAsia="Calibri" w:hAnsi="Calibri" w:cs="Calibri"/>
          <w:b/>
          <w:bCs/>
          <w:sz w:val="22"/>
          <w:szCs w:val="22"/>
        </w:rPr>
        <w:t>Dwucyfrowy wzrost liczby wszystkich rezerwacji</w:t>
      </w:r>
      <w:r w:rsidRPr="78AA3759">
        <w:rPr>
          <w:rFonts w:ascii="Calibri" w:eastAsia="Calibri" w:hAnsi="Calibri" w:cs="Calibri"/>
          <w:sz w:val="22"/>
          <w:szCs w:val="22"/>
        </w:rPr>
        <w:t xml:space="preserve"> rok do roku w okresie wakacyjnym notują Bułgaria i Albania.</w:t>
      </w:r>
    </w:p>
    <w:p w14:paraId="26C6D42D" w14:textId="7BD40E48" w:rsidR="001C7BDA" w:rsidRDefault="001C7BDA" w:rsidP="001C7BDA">
      <w:pPr>
        <w:pStyle w:val="Akapitzlist"/>
        <w:numPr>
          <w:ilvl w:val="0"/>
          <w:numId w:val="6"/>
        </w:numPr>
        <w:spacing w:after="16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3D428EF">
        <w:rPr>
          <w:rFonts w:ascii="Calibri" w:eastAsia="Calibri" w:hAnsi="Calibri" w:cs="Calibri"/>
          <w:b/>
          <w:bCs/>
          <w:sz w:val="22"/>
          <w:szCs w:val="22"/>
        </w:rPr>
        <w:t>9,2-15,7 tys. zł</w:t>
      </w:r>
      <w:r w:rsidRPr="43D428EF">
        <w:rPr>
          <w:rFonts w:ascii="Calibri" w:eastAsia="Calibri" w:hAnsi="Calibri" w:cs="Calibri"/>
          <w:sz w:val="22"/>
          <w:szCs w:val="22"/>
        </w:rPr>
        <w:t xml:space="preserve"> – w takim przedziale mieszczą się średnie wartości rodzinnych rezerwacji do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43D428EF">
        <w:rPr>
          <w:rFonts w:ascii="Calibri" w:eastAsia="Calibri" w:hAnsi="Calibri" w:cs="Calibri"/>
          <w:sz w:val="22"/>
          <w:szCs w:val="22"/>
        </w:rPr>
        <w:t>Turcji, Egiptu, Grecji i Bułgarii, średnia kwota przeznaczana na wakacje zależy od liczby uczestników i kierunku podróży.</w:t>
      </w:r>
    </w:p>
    <w:p w14:paraId="34C67945" w14:textId="77777777" w:rsidR="001C7BDA" w:rsidRDefault="001C7BDA" w:rsidP="001C7BDA">
      <w:pPr>
        <w:pStyle w:val="Akapitzlist"/>
        <w:numPr>
          <w:ilvl w:val="0"/>
          <w:numId w:val="6"/>
        </w:numPr>
        <w:spacing w:after="16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3D428EF">
        <w:rPr>
          <w:rFonts w:ascii="Calibri" w:eastAsia="Calibri" w:hAnsi="Calibri" w:cs="Calibri"/>
          <w:b/>
          <w:bCs/>
          <w:sz w:val="22"/>
          <w:szCs w:val="22"/>
        </w:rPr>
        <w:t>3/4 rodzin</w:t>
      </w:r>
      <w:r w:rsidRPr="43D428EF">
        <w:rPr>
          <w:rFonts w:ascii="Calibri" w:eastAsia="Calibri" w:hAnsi="Calibri" w:cs="Calibri"/>
          <w:sz w:val="22"/>
          <w:szCs w:val="22"/>
        </w:rPr>
        <w:t xml:space="preserve"> wybiera wyjazdy trwające siedem lub osiem dni.</w:t>
      </w:r>
    </w:p>
    <w:p w14:paraId="3D272B60" w14:textId="77777777" w:rsidR="001C7BDA" w:rsidRDefault="001C7BDA" w:rsidP="001C7BDA">
      <w:pPr>
        <w:pStyle w:val="Akapitzlist"/>
        <w:numPr>
          <w:ilvl w:val="0"/>
          <w:numId w:val="6"/>
        </w:numPr>
        <w:spacing w:after="16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3D428EF">
        <w:rPr>
          <w:rFonts w:ascii="Calibri" w:eastAsia="Calibri" w:hAnsi="Calibri" w:cs="Calibri"/>
          <w:b/>
          <w:bCs/>
          <w:sz w:val="22"/>
          <w:szCs w:val="22"/>
        </w:rPr>
        <w:t>85 proc.</w:t>
      </w:r>
      <w:r w:rsidRPr="43D428EF">
        <w:rPr>
          <w:rFonts w:ascii="Calibri" w:eastAsia="Calibri" w:hAnsi="Calibri" w:cs="Calibri"/>
          <w:sz w:val="22"/>
          <w:szCs w:val="22"/>
        </w:rPr>
        <w:t xml:space="preserve"> rodzin stawia na opcję </w:t>
      </w:r>
      <w:proofErr w:type="spellStart"/>
      <w:r w:rsidRPr="43D428EF">
        <w:rPr>
          <w:rFonts w:ascii="Calibri" w:eastAsia="Calibri" w:hAnsi="Calibri" w:cs="Calibri"/>
          <w:sz w:val="22"/>
          <w:szCs w:val="22"/>
        </w:rPr>
        <w:t>all</w:t>
      </w:r>
      <w:proofErr w:type="spellEnd"/>
      <w:r w:rsidRPr="43D428EF">
        <w:rPr>
          <w:rFonts w:ascii="Calibri" w:eastAsia="Calibri" w:hAnsi="Calibri" w:cs="Calibri"/>
          <w:sz w:val="22"/>
          <w:szCs w:val="22"/>
        </w:rPr>
        <w:t xml:space="preserve"> inclusive.</w:t>
      </w:r>
    </w:p>
    <w:p w14:paraId="22B7DD84" w14:textId="77777777" w:rsidR="001C7BDA" w:rsidRDefault="001C7BDA" w:rsidP="001C7BDA">
      <w:pPr>
        <w:pBdr>
          <w:bottom w:val="single" w:sz="6" w:space="1" w:color="000000"/>
        </w:pBd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02B9CA0D" w14:textId="77777777" w:rsidR="001C7BDA" w:rsidRDefault="001C7BDA" w:rsidP="001C7BDA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2C8917EF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AA3759">
        <w:rPr>
          <w:rFonts w:ascii="Calibri" w:eastAsia="Calibri" w:hAnsi="Calibri" w:cs="Calibri"/>
          <w:sz w:val="22"/>
          <w:szCs w:val="22"/>
        </w:rPr>
        <w:t>Lipiec i sierpień pozostają najpopularniejszym okresem na zagraniczne wyjazdy. W badaniu ARC Rynek i Opinia przeprowadzonym dla Wakacje.pl w drugiej połowie marca 48 proc. respondentów deklarowało, że właśnie podczas wakacji szkolnych zamierza wyjechać na taki urlop.</w:t>
      </w:r>
    </w:p>
    <w:p w14:paraId="34BB194E" w14:textId="77777777" w:rsidR="00B30839" w:rsidRDefault="00B30839" w:rsidP="00B30839">
      <w:pPr>
        <w:spacing w:line="257" w:lineRule="auto"/>
        <w:jc w:val="both"/>
      </w:pPr>
    </w:p>
    <w:p w14:paraId="2268030C" w14:textId="67A2ECB1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3D428EF">
        <w:rPr>
          <w:rFonts w:ascii="Calibri" w:eastAsia="Calibri" w:hAnsi="Calibri" w:cs="Calibri"/>
          <w:sz w:val="22"/>
          <w:szCs w:val="22"/>
        </w:rPr>
        <w:t xml:space="preserve">Z danych rezerwacyjnych </w:t>
      </w:r>
      <w:proofErr w:type="spellStart"/>
      <w:r w:rsidRPr="43D428EF">
        <w:rPr>
          <w:rFonts w:ascii="Calibri" w:eastAsia="Calibri" w:hAnsi="Calibri" w:cs="Calibri"/>
          <w:sz w:val="22"/>
          <w:szCs w:val="22"/>
        </w:rPr>
        <w:t>multiagenta</w:t>
      </w:r>
      <w:proofErr w:type="spellEnd"/>
      <w:r w:rsidRPr="43D428EF">
        <w:rPr>
          <w:rFonts w:ascii="Calibri" w:eastAsia="Calibri" w:hAnsi="Calibri" w:cs="Calibri"/>
          <w:sz w:val="22"/>
          <w:szCs w:val="22"/>
        </w:rPr>
        <w:t xml:space="preserve"> wynika, że tegoroczne wybory Polaków łączą wakacyjną klasykę z coraz większą różnorodnością. Najpopularniejsze kierunki nadal przyciągają szeroką ofertą i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43D428EF">
        <w:rPr>
          <w:rFonts w:ascii="Calibri" w:eastAsia="Calibri" w:hAnsi="Calibri" w:cs="Calibri"/>
          <w:sz w:val="22"/>
          <w:szCs w:val="22"/>
        </w:rPr>
        <w:t>sprawdzonym modelem wypoczynku, ale rośnie też zainteresowanie krajami, które jeszcze kilka lat temu częściej były domeną podróży organizowanych samodzielnie, oraz rozwijającymi się kurortami na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43D428EF">
        <w:rPr>
          <w:rFonts w:ascii="Calibri" w:eastAsia="Calibri" w:hAnsi="Calibri" w:cs="Calibri"/>
          <w:sz w:val="22"/>
          <w:szCs w:val="22"/>
        </w:rPr>
        <w:t>Bałkanach.</w:t>
      </w:r>
    </w:p>
    <w:p w14:paraId="45570438" w14:textId="77777777" w:rsidR="00B30839" w:rsidRDefault="00B30839" w:rsidP="00B30839">
      <w:pPr>
        <w:spacing w:line="257" w:lineRule="auto"/>
        <w:jc w:val="both"/>
      </w:pPr>
    </w:p>
    <w:p w14:paraId="0B4997F6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4D6F2F">
        <w:rPr>
          <w:rFonts w:ascii="Calibri" w:eastAsia="Calibri" w:hAnsi="Calibri" w:cs="Calibri"/>
          <w:b/>
          <w:bCs/>
          <w:sz w:val="22"/>
          <w:szCs w:val="22"/>
        </w:rPr>
        <w:t>Sprawdzone kierunki rządzą wakacyjnym podium</w:t>
      </w:r>
    </w:p>
    <w:p w14:paraId="45DAD483" w14:textId="77777777" w:rsidR="00B30839" w:rsidRDefault="00B30839" w:rsidP="00B30839">
      <w:pPr>
        <w:spacing w:line="257" w:lineRule="auto"/>
        <w:jc w:val="both"/>
      </w:pPr>
    </w:p>
    <w:p w14:paraId="21577F7A" w14:textId="0ECF7FD6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AA3759">
        <w:rPr>
          <w:rFonts w:ascii="Calibri" w:eastAsia="Calibri" w:hAnsi="Calibri" w:cs="Calibri"/>
          <w:sz w:val="22"/>
          <w:szCs w:val="22"/>
        </w:rPr>
        <w:t>Sytuacja na Bliskim Wschodzie nie zmieniła układu najpopularniejszych kierunków na wakacje szkolne. Turcja, Egipt i Grecja cieszą się równie dużym zainteresowaniem jak w poprzednich latach. Ich pozycję wzmacniają szeroka oferta hoteli, duża liczba połączeń oraz infrastruktura przygotowana zarówno z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78AA3759">
        <w:rPr>
          <w:rFonts w:ascii="Calibri" w:eastAsia="Calibri" w:hAnsi="Calibri" w:cs="Calibri"/>
          <w:sz w:val="22"/>
          <w:szCs w:val="22"/>
        </w:rPr>
        <w:t>myślą o rodzinach, jak i osobach podróżujących bez dzieci.</w:t>
      </w:r>
    </w:p>
    <w:p w14:paraId="5A979B1B" w14:textId="77777777" w:rsidR="00B30839" w:rsidRDefault="00B30839" w:rsidP="00B30839">
      <w:pPr>
        <w:spacing w:line="257" w:lineRule="auto"/>
        <w:jc w:val="both"/>
      </w:pPr>
    </w:p>
    <w:p w14:paraId="34C22D42" w14:textId="322D7F0D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6E4D6F2F">
        <w:rPr>
          <w:rFonts w:ascii="Calibri" w:eastAsia="Calibri" w:hAnsi="Calibri" w:cs="Calibri"/>
          <w:sz w:val="22"/>
          <w:szCs w:val="22"/>
        </w:rPr>
        <w:t xml:space="preserve">– To kierunki dobrze znane polskim turystom. Klienci mają do wyboru obiekty o różnym standardzie wypoczynku i w różnych przedziałach cenowych, a także wiele lotnisk wylotowych i terminów. Jednocześnie coraz częściej rezerwują w biurach podróży wyjazdy do Hiszpanii, Włoch, na Maltę czy Cypr, które jeszcze kilka lat temu były przede wszystkim domeną podróży organizowanych </w:t>
      </w:r>
      <w:r w:rsidRPr="6E4D6F2F">
        <w:rPr>
          <w:rFonts w:ascii="Calibri" w:eastAsia="Calibri" w:hAnsi="Calibri" w:cs="Calibri"/>
          <w:sz w:val="22"/>
          <w:szCs w:val="22"/>
        </w:rPr>
        <w:lastRenderedPageBreak/>
        <w:t>samodzielnie. Pokazuje to, że Polacy chcą korzystać z wygody pakietu turystycznego również wtedy, gdy wybierają kierunki kojarzone ze zwiedzaniem, krótszym urlopem czy bardziej aktywnym wypoczynkiem. Wzrost zainteresowania widzimy także w przypadku wyjazdów na Bałkany, szczególnie do Bułgarii i Albanii – mówi Marzena Buczkowska-German, ekspertka rynku turystycznego w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6E4D6F2F">
        <w:rPr>
          <w:rFonts w:ascii="Calibri" w:eastAsia="Calibri" w:hAnsi="Calibri" w:cs="Calibri"/>
          <w:sz w:val="22"/>
          <w:szCs w:val="22"/>
        </w:rPr>
        <w:t>Wakacje.pl.</w:t>
      </w:r>
    </w:p>
    <w:p w14:paraId="29B82832" w14:textId="77777777" w:rsidR="00B30839" w:rsidRDefault="00B30839" w:rsidP="00B30839">
      <w:pPr>
        <w:spacing w:line="257" w:lineRule="auto"/>
        <w:jc w:val="both"/>
      </w:pPr>
    </w:p>
    <w:p w14:paraId="184F10D3" w14:textId="5E660312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AA3759">
        <w:rPr>
          <w:rFonts w:ascii="Calibri" w:eastAsia="Calibri" w:hAnsi="Calibri" w:cs="Calibri"/>
          <w:sz w:val="22"/>
          <w:szCs w:val="22"/>
        </w:rPr>
        <w:t>W ujęciu ogólnym liczba rezerwacji wakacyjnych do Bułgarii jest o 35 proc. większa niż przed rokiem, a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78AA3759">
        <w:rPr>
          <w:rFonts w:ascii="Calibri" w:eastAsia="Calibri" w:hAnsi="Calibri" w:cs="Calibri"/>
          <w:sz w:val="22"/>
          <w:szCs w:val="22"/>
        </w:rPr>
        <w:t>do Albanii – o 40 proc.</w:t>
      </w:r>
    </w:p>
    <w:p w14:paraId="0566DAA0" w14:textId="77777777" w:rsidR="00B30839" w:rsidRDefault="00B30839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C452BF2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6E4D6F2F">
        <w:rPr>
          <w:rFonts w:ascii="Calibri" w:eastAsia="Calibri" w:hAnsi="Calibri" w:cs="Calibri"/>
          <w:sz w:val="22"/>
          <w:szCs w:val="22"/>
        </w:rPr>
        <w:t xml:space="preserve">– Bułgaria od lat zajmuje ważne miejsce wśród najpopularniejszych wakacyjnych kierunków, ale w tym sezonie dodatkowo umacnia swoją pozycję. Sprzyjają temu atrakcyjne na tle innych europejskich krajów ceny wypoczynku </w:t>
      </w:r>
      <w:proofErr w:type="spellStart"/>
      <w:r w:rsidRPr="6E4D6F2F">
        <w:rPr>
          <w:rFonts w:ascii="Calibri" w:eastAsia="Calibri" w:hAnsi="Calibri" w:cs="Calibri"/>
          <w:sz w:val="22"/>
          <w:szCs w:val="22"/>
        </w:rPr>
        <w:t>all</w:t>
      </w:r>
      <w:proofErr w:type="spellEnd"/>
      <w:r w:rsidRPr="6E4D6F2F">
        <w:rPr>
          <w:rFonts w:ascii="Calibri" w:eastAsia="Calibri" w:hAnsi="Calibri" w:cs="Calibri"/>
          <w:sz w:val="22"/>
          <w:szCs w:val="22"/>
        </w:rPr>
        <w:t xml:space="preserve"> inclusive, szeroka baza połączeń, bliskość Polski oraz fakt, że to kraj dobrze znany kilku pokoleniom turystów. W przypadku Albanii duże znaczenie ma rozwój oferty przez organizatorów – przybywa hoteli i połączeń, do programów biur podróży są włączane nowe regiony, jak na przykład okolice Vlory, które przyciągają urozmaiconym wybrzeżem, szerokimi plażami i turkusową wodą – wyjaśnia ekspertka.</w:t>
      </w:r>
    </w:p>
    <w:p w14:paraId="3CA11F91" w14:textId="77777777" w:rsidR="00B30839" w:rsidRDefault="00B30839" w:rsidP="00B30839">
      <w:pPr>
        <w:spacing w:line="257" w:lineRule="auto"/>
        <w:jc w:val="both"/>
      </w:pPr>
    </w:p>
    <w:p w14:paraId="74B3ACB7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4D6F2F">
        <w:rPr>
          <w:rFonts w:ascii="Calibri" w:eastAsia="Calibri" w:hAnsi="Calibri" w:cs="Calibri"/>
          <w:b/>
          <w:bCs/>
          <w:sz w:val="22"/>
          <w:szCs w:val="22"/>
        </w:rPr>
        <w:t>Turcja numerem 1 na rodzinne wakacje</w:t>
      </w:r>
    </w:p>
    <w:p w14:paraId="44FED7CD" w14:textId="77777777" w:rsidR="00B30839" w:rsidRDefault="00B30839" w:rsidP="00B30839">
      <w:pPr>
        <w:spacing w:line="257" w:lineRule="auto"/>
        <w:jc w:val="both"/>
      </w:pPr>
    </w:p>
    <w:p w14:paraId="2BF5E576" w14:textId="6BF4F998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AA3759">
        <w:rPr>
          <w:rFonts w:ascii="Calibri" w:eastAsia="Calibri" w:hAnsi="Calibri" w:cs="Calibri"/>
          <w:sz w:val="22"/>
          <w:szCs w:val="22"/>
        </w:rPr>
        <w:t>Aż 53 proc. rezerwacji do Turcji stanowią wyjazdy rodzin z jednym lub dwojgiem dzieci. Rodzinny charakter coraz wyraźniej zaznacza się także w przypadku Egiptu, Grecji i Hiszpanii. W porównaniu z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78AA3759">
        <w:rPr>
          <w:rFonts w:ascii="Calibri" w:eastAsia="Calibri" w:hAnsi="Calibri" w:cs="Calibri"/>
          <w:sz w:val="22"/>
          <w:szCs w:val="22"/>
        </w:rPr>
        <w:t>poprzednim rokiem udział rezerwacji 2+1 i 2+2 do tych krajów wzrósł o kilka punktów procentowych. Nie jest to gwałtowna zmiana, ale wyraźny sygnał, że rodziny coraz śmielej poszerzają mapę swoich wakacyjnych wyborów.</w:t>
      </w:r>
    </w:p>
    <w:p w14:paraId="2C9B5A07" w14:textId="77777777" w:rsidR="00B30839" w:rsidRDefault="00B30839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370B8CF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AA3759">
        <w:rPr>
          <w:rFonts w:ascii="Calibri" w:eastAsia="Calibri" w:hAnsi="Calibri" w:cs="Calibri"/>
          <w:sz w:val="22"/>
          <w:szCs w:val="22"/>
        </w:rPr>
        <w:t>– Rodzice szukają przede wszystkim hoteli z dobrą infrastrukturą i atrakcjami dla dzieci, ale nie ograniczają się do jednego kierunku czy modelu wypoczynku. Porównują standard obiektów, długość transferu i zakres świadczeń dostępnych na miejscu. Dlatego coraz więcej rodzin spędza wakacje nie tylko w Turcji, ale także w Egipcie, Grecji czy Hiszpanii – dodaje Marzena Buczkowska-German.</w:t>
      </w:r>
    </w:p>
    <w:p w14:paraId="5A6D53A8" w14:textId="77777777" w:rsidR="00B30839" w:rsidRDefault="00B30839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66EA7FA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4D6F2F">
        <w:rPr>
          <w:rFonts w:ascii="Calibri" w:eastAsia="Calibri" w:hAnsi="Calibri" w:cs="Calibri"/>
          <w:b/>
          <w:bCs/>
          <w:sz w:val="22"/>
          <w:szCs w:val="22"/>
        </w:rPr>
        <w:t>Ile rodziny wydają na wakacje?</w:t>
      </w:r>
    </w:p>
    <w:p w14:paraId="3F6FDC26" w14:textId="77777777" w:rsidR="00B30839" w:rsidRDefault="00B30839" w:rsidP="00B30839">
      <w:pPr>
        <w:spacing w:line="257" w:lineRule="auto"/>
        <w:jc w:val="both"/>
      </w:pPr>
    </w:p>
    <w:p w14:paraId="3E2F064D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3D428EF">
        <w:rPr>
          <w:rFonts w:ascii="Calibri" w:eastAsia="Calibri" w:hAnsi="Calibri" w:cs="Calibri"/>
          <w:sz w:val="22"/>
          <w:szCs w:val="22"/>
        </w:rPr>
        <w:t>Średnie kwoty przeznaczane na wakacyjne wyjazdy są zbliżone do ubiegłorocznych. W przypadku najpopularniejszych kierunków różnice wynoszą zazwyczaj od 1 do 4 proc.</w:t>
      </w:r>
    </w:p>
    <w:p w14:paraId="3BD4AED1" w14:textId="77777777" w:rsidR="00B30839" w:rsidRDefault="00B30839" w:rsidP="00B30839">
      <w:pPr>
        <w:spacing w:line="257" w:lineRule="auto"/>
        <w:jc w:val="both"/>
      </w:pPr>
    </w:p>
    <w:p w14:paraId="2D1181B4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F139A12">
        <w:rPr>
          <w:rFonts w:ascii="Calibri" w:eastAsia="Calibri" w:hAnsi="Calibri" w:cs="Calibri"/>
          <w:sz w:val="22"/>
          <w:szCs w:val="22"/>
        </w:rPr>
        <w:t>W czterech popularnych krajach wybieranych na rodzinny wypoczynek średnia wartość całej rezerwacji wynosi od około 9,2 tys. do 12,8 tys. zł dla rodziny z jednym dzieckiem oraz od 11,4 tys. do 15,7 tys. zł dla rodziny z dwojgiem dzieci.</w:t>
      </w:r>
    </w:p>
    <w:p w14:paraId="29B16630" w14:textId="77777777" w:rsidR="00CD2DD1" w:rsidRDefault="00CD2DD1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C5AE110" w14:textId="77777777" w:rsidR="00CD2DD1" w:rsidRDefault="00CD2DD1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DFA1EE9" w14:textId="2316CB61" w:rsidR="00CD2DD1" w:rsidRDefault="00CD2DD1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3C851989" wp14:editId="15AA0A98">
            <wp:extent cx="5759450" cy="3239770"/>
            <wp:effectExtent l="0" t="0" r="0" b="0"/>
            <wp:docPr id="13829188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18858" name="Obraz 13829188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21F21" w14:textId="77777777" w:rsidR="00B30839" w:rsidRDefault="00B30839" w:rsidP="00B30839">
      <w:pPr>
        <w:spacing w:line="257" w:lineRule="auto"/>
        <w:jc w:val="both"/>
      </w:pPr>
    </w:p>
    <w:p w14:paraId="13A9A60B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AA3759">
        <w:rPr>
          <w:rFonts w:ascii="Calibri" w:eastAsia="Calibri" w:hAnsi="Calibri" w:cs="Calibri"/>
          <w:sz w:val="22"/>
          <w:szCs w:val="22"/>
        </w:rPr>
        <w:t>Są to średnie kwoty, a nie ceny minimalne ani wartości przypadające na jednego uczestnika. Za wyjazd można więc zapłacić zarówno mniej, jak i więcej – w zależności m.in. od terminu, standardu hotelu, lotniska wylotowego czy wybranego zakresu wyżywienia.</w:t>
      </w:r>
    </w:p>
    <w:p w14:paraId="4566FB8B" w14:textId="77777777" w:rsidR="00B30839" w:rsidRDefault="00B30839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E53AAB1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8AA3759">
        <w:rPr>
          <w:rFonts w:ascii="Calibri" w:eastAsia="Calibri" w:hAnsi="Calibri" w:cs="Calibri"/>
          <w:b/>
          <w:bCs/>
          <w:sz w:val="22"/>
          <w:szCs w:val="22"/>
        </w:rPr>
        <w:t xml:space="preserve">Rodziny wybierają tydzień i </w:t>
      </w:r>
      <w:proofErr w:type="spellStart"/>
      <w:r w:rsidRPr="78AA3759">
        <w:rPr>
          <w:rFonts w:ascii="Calibri" w:eastAsia="Calibri" w:hAnsi="Calibri" w:cs="Calibri"/>
          <w:b/>
          <w:bCs/>
          <w:sz w:val="22"/>
          <w:szCs w:val="22"/>
        </w:rPr>
        <w:t>all</w:t>
      </w:r>
      <w:proofErr w:type="spellEnd"/>
      <w:r w:rsidRPr="78AA3759">
        <w:rPr>
          <w:rFonts w:ascii="Calibri" w:eastAsia="Calibri" w:hAnsi="Calibri" w:cs="Calibri"/>
          <w:b/>
          <w:bCs/>
          <w:sz w:val="22"/>
          <w:szCs w:val="22"/>
        </w:rPr>
        <w:t xml:space="preserve"> inclusive</w:t>
      </w:r>
    </w:p>
    <w:p w14:paraId="414B32CB" w14:textId="77777777" w:rsidR="00B30839" w:rsidRDefault="00B30839" w:rsidP="00B30839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AC83912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AA3759">
        <w:rPr>
          <w:rFonts w:ascii="Calibri" w:eastAsia="Calibri" w:hAnsi="Calibri" w:cs="Calibri"/>
          <w:sz w:val="22"/>
          <w:szCs w:val="22"/>
        </w:rPr>
        <w:t>Podstawowym modelem rodzinnego wypoczynku pozostaje wyjazd na siedem lub osiem dni. Taką długość pobytu wybiera około trzech czwartych rodzin. Na podróże krótsze niż tydzień decyduje się zaledwie 7 proc. podróżnych z jednym lub dwojgiem dzieci, podczas gdy wśród par ten udział wynosi 12 proc. Podróże dłuższe niż osiem dni są domeną rodzin.</w:t>
      </w:r>
    </w:p>
    <w:p w14:paraId="7A9DAFB7" w14:textId="77777777" w:rsidR="00B30839" w:rsidRDefault="00B30839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E422941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6E4D6F2F">
        <w:rPr>
          <w:rFonts w:ascii="Calibri" w:eastAsia="Calibri" w:hAnsi="Calibri" w:cs="Calibri"/>
          <w:sz w:val="22"/>
          <w:szCs w:val="22"/>
        </w:rPr>
        <w:t xml:space="preserve">Różnicę widać również w zakresie wyżywienia. Około 85 proc. rodzin rezerwuje wakacje </w:t>
      </w:r>
      <w:proofErr w:type="spellStart"/>
      <w:r w:rsidRPr="6E4D6F2F">
        <w:rPr>
          <w:rFonts w:ascii="Calibri" w:eastAsia="Calibri" w:hAnsi="Calibri" w:cs="Calibri"/>
          <w:sz w:val="22"/>
          <w:szCs w:val="22"/>
        </w:rPr>
        <w:t>all</w:t>
      </w:r>
      <w:proofErr w:type="spellEnd"/>
      <w:r w:rsidRPr="6E4D6F2F">
        <w:rPr>
          <w:rFonts w:ascii="Calibri" w:eastAsia="Calibri" w:hAnsi="Calibri" w:cs="Calibri"/>
          <w:sz w:val="22"/>
          <w:szCs w:val="22"/>
        </w:rPr>
        <w:t xml:space="preserve"> inclusive. Wśród par ten udział wynosi 79 proc.</w:t>
      </w:r>
    </w:p>
    <w:p w14:paraId="38643F65" w14:textId="77777777" w:rsidR="00B30839" w:rsidRDefault="00B30839" w:rsidP="00B30839">
      <w:pPr>
        <w:spacing w:line="257" w:lineRule="auto"/>
        <w:jc w:val="both"/>
      </w:pPr>
    </w:p>
    <w:p w14:paraId="1B35618E" w14:textId="42D230D1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AA3759">
        <w:rPr>
          <w:rFonts w:ascii="Calibri" w:eastAsia="Calibri" w:hAnsi="Calibri" w:cs="Calibri"/>
          <w:sz w:val="22"/>
          <w:szCs w:val="22"/>
        </w:rPr>
        <w:t xml:space="preserve">– Dla rodziców </w:t>
      </w:r>
      <w:proofErr w:type="spellStart"/>
      <w:r w:rsidRPr="78AA3759">
        <w:rPr>
          <w:rFonts w:ascii="Calibri" w:eastAsia="Calibri" w:hAnsi="Calibri" w:cs="Calibri"/>
          <w:sz w:val="22"/>
          <w:szCs w:val="22"/>
        </w:rPr>
        <w:t>all</w:t>
      </w:r>
      <w:proofErr w:type="spellEnd"/>
      <w:r w:rsidRPr="78AA3759">
        <w:rPr>
          <w:rFonts w:ascii="Calibri" w:eastAsia="Calibri" w:hAnsi="Calibri" w:cs="Calibri"/>
          <w:sz w:val="22"/>
          <w:szCs w:val="22"/>
        </w:rPr>
        <w:t xml:space="preserve"> inclusive oznacza nie tylko posiłki, ale przede wszystkim wygodę i przewidywalność wakacyjnego budżetu. Napoje czy przekąski dostępne w ciągu dnia ograniczają dodatkowe wydatki i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78AA3759">
        <w:rPr>
          <w:rFonts w:ascii="Calibri" w:eastAsia="Calibri" w:hAnsi="Calibri" w:cs="Calibri"/>
          <w:sz w:val="22"/>
          <w:szCs w:val="22"/>
        </w:rPr>
        <w:t>ułatwiają organizację wypoczynku z dziećmi. Znaczenie ma jednak cała infrastruktura hotelowa: baseny, zjeżdżalnie, animacje, dostęp do plaży czy zajęcia dla różnych grup wiekowych. Rodzinny hotel powinien zapewniać atrakcje dzieciom, ale jednocześnie pozwalać odpocząć ich rodzicom – podkreśla ekspertka Wakacje.pl.</w:t>
      </w:r>
    </w:p>
    <w:p w14:paraId="622F0124" w14:textId="77777777" w:rsidR="00B30839" w:rsidRDefault="00B30839" w:rsidP="00B30839">
      <w:pPr>
        <w:spacing w:line="257" w:lineRule="auto"/>
        <w:jc w:val="both"/>
      </w:pPr>
    </w:p>
    <w:p w14:paraId="69EC4E3D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proofErr w:type="spellStart"/>
      <w:r w:rsidRPr="6E4D6F2F">
        <w:rPr>
          <w:rFonts w:ascii="Calibri" w:eastAsia="Calibri" w:hAnsi="Calibri" w:cs="Calibri"/>
          <w:b/>
          <w:bCs/>
          <w:sz w:val="22"/>
          <w:szCs w:val="22"/>
        </w:rPr>
        <w:t>Last</w:t>
      </w:r>
      <w:proofErr w:type="spellEnd"/>
      <w:r w:rsidRPr="6E4D6F2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Pr="6E4D6F2F">
        <w:rPr>
          <w:rFonts w:ascii="Calibri" w:eastAsia="Calibri" w:hAnsi="Calibri" w:cs="Calibri"/>
          <w:b/>
          <w:bCs/>
          <w:sz w:val="22"/>
          <w:szCs w:val="22"/>
        </w:rPr>
        <w:t>minute</w:t>
      </w:r>
      <w:proofErr w:type="spellEnd"/>
      <w:r w:rsidRPr="6E4D6F2F">
        <w:rPr>
          <w:rFonts w:ascii="Calibri" w:eastAsia="Calibri" w:hAnsi="Calibri" w:cs="Calibri"/>
          <w:b/>
          <w:bCs/>
          <w:sz w:val="22"/>
          <w:szCs w:val="22"/>
        </w:rPr>
        <w:t xml:space="preserve"> przede wszystkim dla elastycznych</w:t>
      </w:r>
    </w:p>
    <w:p w14:paraId="340A659B" w14:textId="77777777" w:rsidR="00B30839" w:rsidRDefault="00B30839" w:rsidP="00B30839">
      <w:pPr>
        <w:spacing w:line="257" w:lineRule="auto"/>
        <w:jc w:val="both"/>
      </w:pPr>
    </w:p>
    <w:p w14:paraId="29826935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3D428EF">
        <w:rPr>
          <w:rFonts w:ascii="Calibri" w:eastAsia="Calibri" w:hAnsi="Calibri" w:cs="Calibri"/>
          <w:sz w:val="22"/>
          <w:szCs w:val="22"/>
        </w:rPr>
        <w:t xml:space="preserve">Osoby, które nie zarezerwowały jeszcze wakacyjnego wyjazdu, nadal mogą znaleźć propozycje </w:t>
      </w:r>
      <w:proofErr w:type="spellStart"/>
      <w:r w:rsidRPr="43D428EF">
        <w:rPr>
          <w:rFonts w:ascii="Calibri" w:eastAsia="Calibri" w:hAnsi="Calibri" w:cs="Calibri"/>
          <w:sz w:val="22"/>
          <w:szCs w:val="22"/>
        </w:rPr>
        <w:t>last</w:t>
      </w:r>
      <w:proofErr w:type="spellEnd"/>
      <w:r w:rsidRPr="43D428E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43D428EF">
        <w:rPr>
          <w:rFonts w:ascii="Calibri" w:eastAsia="Calibri" w:hAnsi="Calibri" w:cs="Calibri"/>
          <w:sz w:val="22"/>
          <w:szCs w:val="22"/>
        </w:rPr>
        <w:t>minute</w:t>
      </w:r>
      <w:proofErr w:type="spellEnd"/>
      <w:r w:rsidRPr="43D428EF">
        <w:rPr>
          <w:rFonts w:ascii="Calibri" w:eastAsia="Calibri" w:hAnsi="Calibri" w:cs="Calibri"/>
          <w:sz w:val="22"/>
          <w:szCs w:val="22"/>
        </w:rPr>
        <w:t>. Największy wybór jest zazwyczaj dostępny wśród kierunków z szeroką ofertą hoteli i dużą liczbą połączeń lotniczych, takich jak Turcja czy Egipt.</w:t>
      </w:r>
    </w:p>
    <w:p w14:paraId="366A0E45" w14:textId="77777777" w:rsidR="00B30839" w:rsidRDefault="00B30839" w:rsidP="00B30839">
      <w:pPr>
        <w:spacing w:line="257" w:lineRule="auto"/>
        <w:jc w:val="both"/>
      </w:pPr>
    </w:p>
    <w:p w14:paraId="0B0AD114" w14:textId="166C53BA" w:rsidR="001C7BDA" w:rsidRDefault="001C7BDA" w:rsidP="00B30839">
      <w:pPr>
        <w:spacing w:line="257" w:lineRule="auto"/>
        <w:jc w:val="both"/>
      </w:pPr>
      <w:r w:rsidRPr="78AA3759">
        <w:rPr>
          <w:rFonts w:ascii="Calibri" w:eastAsia="Calibri" w:hAnsi="Calibri" w:cs="Calibri"/>
          <w:sz w:val="22"/>
          <w:szCs w:val="22"/>
        </w:rPr>
        <w:lastRenderedPageBreak/>
        <w:t xml:space="preserve">– </w:t>
      </w:r>
      <w:proofErr w:type="spellStart"/>
      <w:r w:rsidRPr="78AA3759">
        <w:rPr>
          <w:rFonts w:ascii="Calibri" w:eastAsia="Calibri" w:hAnsi="Calibri" w:cs="Calibri"/>
          <w:sz w:val="22"/>
          <w:szCs w:val="22"/>
        </w:rPr>
        <w:t>Last</w:t>
      </w:r>
      <w:proofErr w:type="spellEnd"/>
      <w:r w:rsidRPr="78AA3759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78AA3759">
        <w:rPr>
          <w:rFonts w:ascii="Calibri" w:eastAsia="Calibri" w:hAnsi="Calibri" w:cs="Calibri"/>
          <w:sz w:val="22"/>
          <w:szCs w:val="22"/>
        </w:rPr>
        <w:t>minute</w:t>
      </w:r>
      <w:proofErr w:type="spellEnd"/>
      <w:r w:rsidRPr="78AA3759">
        <w:rPr>
          <w:rFonts w:ascii="Calibri" w:eastAsia="Calibri" w:hAnsi="Calibri" w:cs="Calibri"/>
          <w:sz w:val="22"/>
          <w:szCs w:val="22"/>
        </w:rPr>
        <w:t xml:space="preserve"> najlepiej sprawdza się w przypadku osób elastycznych, które nie są przywiązane do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78AA3759">
        <w:rPr>
          <w:rFonts w:ascii="Calibri" w:eastAsia="Calibri" w:hAnsi="Calibri" w:cs="Calibri"/>
          <w:sz w:val="22"/>
          <w:szCs w:val="22"/>
        </w:rPr>
        <w:t>jednego terminu, konkretnego hotelu czy lotniska wylotowego. Największe szanse na znalezienie korzystnej propozycji mają klienci, którzy mogą zdecydować się na podróż niemal z dnia na dzień, sprawdzają wyloty z kilku miast i są otwarci na różne kierunki. Gdy zależy nam na konkretnym obiekcie, pokoju rodzinnym albo określonych godzinach lotu, czekanie do ostatniej chwili może oznaczać, że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78AA3759">
        <w:rPr>
          <w:rFonts w:ascii="Calibri" w:eastAsia="Calibri" w:hAnsi="Calibri" w:cs="Calibri"/>
          <w:sz w:val="22"/>
          <w:szCs w:val="22"/>
        </w:rPr>
        <w:t>z</w:t>
      </w:r>
      <w:r w:rsidR="00B30839">
        <w:rPr>
          <w:rFonts w:ascii="Calibri" w:eastAsia="Calibri" w:hAnsi="Calibri" w:cs="Calibri"/>
          <w:sz w:val="22"/>
          <w:szCs w:val="22"/>
        </w:rPr>
        <w:t> </w:t>
      </w:r>
      <w:r w:rsidRPr="78AA3759">
        <w:rPr>
          <w:rFonts w:ascii="Calibri" w:eastAsia="Calibri" w:hAnsi="Calibri" w:cs="Calibri"/>
          <w:sz w:val="22"/>
          <w:szCs w:val="22"/>
        </w:rPr>
        <w:t>czegoś będziemy musieli zrezygnować – podsumowuje Marzena Buczkowska-German.</w:t>
      </w:r>
    </w:p>
    <w:p w14:paraId="39038FEF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8B588FB" w14:textId="77777777" w:rsidR="001C7BDA" w:rsidRDefault="001C7BDA" w:rsidP="00B30839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754F820" w14:textId="77777777" w:rsidR="001C7BDA" w:rsidRDefault="001C7BDA" w:rsidP="00B30839">
      <w:pPr>
        <w:spacing w:line="257" w:lineRule="auto"/>
        <w:jc w:val="both"/>
      </w:pPr>
      <w:r w:rsidRPr="6E4D6F2F">
        <w:rPr>
          <w:rFonts w:ascii="Calibri" w:eastAsia="Calibri" w:hAnsi="Calibri" w:cs="Calibri"/>
          <w:i/>
          <w:iCs/>
          <w:sz w:val="22"/>
          <w:szCs w:val="22"/>
        </w:rPr>
        <w:t>Dane rezerwacyjne Wakacje.pl obejmują rezerwacje założone od początku sprzedaży sezonu lata 2026 do połowy czerwca 2026 r. na wyjazdy przypadające od 26 czerwca do 31 sierpnia 2026 r.</w:t>
      </w:r>
    </w:p>
    <w:p w14:paraId="1B614E1D" w14:textId="77777777" w:rsidR="002111E2" w:rsidRPr="002111E2" w:rsidRDefault="002111E2" w:rsidP="002111E2">
      <w:pPr>
        <w:spacing w:line="257" w:lineRule="auto"/>
        <w:jc w:val="both"/>
      </w:pPr>
    </w:p>
    <w:p w14:paraId="43444D15" w14:textId="77777777" w:rsidR="00F04DB9" w:rsidRDefault="00F04DB9" w:rsidP="00F04DB9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2E4E050F" w14:textId="77777777" w:rsidR="00F04DB9" w:rsidRDefault="00F04DB9" w:rsidP="00F04DB9">
      <w:pPr>
        <w:jc w:val="both"/>
        <w:rPr>
          <w:rFonts w:ascii="Calibri" w:eastAsia="Calibri" w:hAnsi="Calibri" w:cs="Calibri"/>
        </w:rPr>
      </w:pPr>
    </w:p>
    <w:p w14:paraId="0224CF8B" w14:textId="77777777" w:rsidR="00F04DB9" w:rsidRPr="00293BCD" w:rsidRDefault="00F04DB9" w:rsidP="00F04DB9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93AB8B9" w14:textId="12A0F9B0" w:rsidR="00F04DB9" w:rsidRPr="00083D97" w:rsidRDefault="00F04DB9" w:rsidP="00F04DB9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 xml:space="preserve">Wakacje.pl S.A. to lider rynku OTA w Polsce i jeden z największych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multiagentów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turystycznych w Europie Środkowo-Wschodniej. Umożliwia porównywanie i rezerwację wyjazdów poprzez cztery kanały sprzedaży: stronę internetową wakacje.pl, aplikację mobilną,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call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center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oraz sieć </w:t>
      </w:r>
      <w:r w:rsidR="001C7BDA">
        <w:rPr>
          <w:rFonts w:ascii="Calibri" w:eastAsia="Calibri" w:hAnsi="Calibri" w:cs="Times New Roman"/>
          <w:sz w:val="16"/>
          <w:szCs w:val="16"/>
        </w:rPr>
        <w:t>400</w:t>
      </w:r>
      <w:r w:rsidRPr="00083D97">
        <w:rPr>
          <w:rFonts w:ascii="Calibri" w:eastAsia="Calibri" w:hAnsi="Calibri" w:cs="Times New Roman"/>
          <w:sz w:val="16"/>
          <w:szCs w:val="16"/>
        </w:rPr>
        <w:t xml:space="preserve"> franczyzowych salonów stacjonarnych w całej Polsce. W swojej ofercie ma wyjazdy realizowane przez największe, ale też średnie i</w:t>
      </w:r>
      <w:r w:rsidR="00AC6318">
        <w:rPr>
          <w:rFonts w:ascii="Calibri" w:eastAsia="Calibri" w:hAnsi="Calibri" w:cs="Times New Roman"/>
          <w:sz w:val="16"/>
          <w:szCs w:val="16"/>
        </w:rPr>
        <w:t> </w:t>
      </w:r>
      <w:r w:rsidRPr="00083D97">
        <w:rPr>
          <w:rFonts w:ascii="Calibri" w:eastAsia="Calibri" w:hAnsi="Calibri" w:cs="Times New Roman"/>
          <w:sz w:val="16"/>
          <w:szCs w:val="16"/>
        </w:rPr>
        <w:t xml:space="preserve">mniejsze biura podróży. Obejmuje ona zagraniczne wycieczki lotnicze i autokarowe, wakacje z dojazdem własnym, wczasy krajowe, ofertę dla grup, pakiety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lot+hotel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, a także szeroką gamę usług dodatkowych: ubezpieczenia turystyczne, miejsca parkingowe przy lotniskach (marka Parklot.pl) i wycieczki fakultatywne. Firma co roku jest laureatem konkursów branżowych i plebiscytów konsumenckich, m.in. Laur Konsumenta 2026, Gazele Biznesu 2025, Mobile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Trends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Awards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2024, TOP Marka Lauru Konsumenta 2022.</w:t>
      </w:r>
    </w:p>
    <w:p w14:paraId="3EF20DFE" w14:textId="35CDF8A1" w:rsidR="00BF0E60" w:rsidRPr="00F04DB9" w:rsidRDefault="00F04DB9" w:rsidP="00F04DB9">
      <w:pPr>
        <w:jc w:val="both"/>
        <w:rPr>
          <w:rFonts w:ascii="Calibri" w:eastAsia="Calibri" w:hAnsi="Calibri" w:cs="Times New Roman"/>
          <w:b/>
          <w:bCs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 xml:space="preserve">Od 2015 roku Wakacje.pl są częścią Wirtualna Polska Holding; a w 2025 zintegrowały zarządzanie w regionie CEE w jednej grupie z markami Travelplanet.pl i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Invia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(CZ, SK, HU).  </w:t>
      </w:r>
    </w:p>
    <w:p w14:paraId="1E2F72AB" w14:textId="3360FE98" w:rsidR="00401CAE" w:rsidRPr="00E00601" w:rsidRDefault="00401CAE" w:rsidP="00BF0E60">
      <w:pPr>
        <w:jc w:val="both"/>
        <w:rPr>
          <w:rFonts w:ascii="Poppins" w:hAnsi="Poppins" w:cs="Poppins"/>
          <w:sz w:val="20"/>
          <w:szCs w:val="20"/>
        </w:rPr>
      </w:pPr>
    </w:p>
    <w:sectPr w:rsidR="00401CAE" w:rsidRPr="00E00601" w:rsidSect="000F7E9B">
      <w:headerReference w:type="default" r:id="rId9"/>
      <w:footerReference w:type="default" r:id="rId10"/>
      <w:pgSz w:w="11906" w:h="16838"/>
      <w:pgMar w:top="1418" w:right="1418" w:bottom="1418" w:left="1418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92F8" w14:textId="77777777" w:rsidR="00C4533A" w:rsidRDefault="00C4533A" w:rsidP="001D4B13">
      <w:r>
        <w:separator/>
      </w:r>
    </w:p>
  </w:endnote>
  <w:endnote w:type="continuationSeparator" w:id="0">
    <w:p w14:paraId="0E5FAF6A" w14:textId="77777777" w:rsidR="00C4533A" w:rsidRDefault="00C4533A" w:rsidP="001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93A9" w14:textId="26062C4F" w:rsidR="001D4B13" w:rsidRDefault="00AF0038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E3CBD6" wp14:editId="43CFE83E">
          <wp:simplePos x="0" y="0"/>
          <wp:positionH relativeFrom="margin">
            <wp:posOffset>-900430</wp:posOffset>
          </wp:positionH>
          <wp:positionV relativeFrom="page">
            <wp:posOffset>9535795</wp:posOffset>
          </wp:positionV>
          <wp:extent cx="7560000" cy="1156258"/>
          <wp:effectExtent l="0" t="0" r="0" b="0"/>
          <wp:wrapNone/>
          <wp:docPr id="7141184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18461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6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99A0" w14:textId="77777777" w:rsidR="00C4533A" w:rsidRDefault="00C4533A" w:rsidP="001D4B13">
      <w:r>
        <w:separator/>
      </w:r>
    </w:p>
  </w:footnote>
  <w:footnote w:type="continuationSeparator" w:id="0">
    <w:p w14:paraId="33508ECE" w14:textId="77777777" w:rsidR="00C4533A" w:rsidRDefault="00C4533A" w:rsidP="001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76E" w14:textId="4A99DE36" w:rsidR="001D4B13" w:rsidRDefault="001D4B13" w:rsidP="001D4B1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EAB20" wp14:editId="0CF8996B">
          <wp:simplePos x="0" y="0"/>
          <wp:positionH relativeFrom="margin">
            <wp:posOffset>4222076</wp:posOffset>
          </wp:positionH>
          <wp:positionV relativeFrom="paragraph">
            <wp:posOffset>-166526</wp:posOffset>
          </wp:positionV>
          <wp:extent cx="1528341" cy="413405"/>
          <wp:effectExtent l="0" t="0" r="0" b="5715"/>
          <wp:wrapNone/>
          <wp:docPr id="16461401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014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38" cy="41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752"/>
    <w:multiLevelType w:val="hybridMultilevel"/>
    <w:tmpl w:val="FFFFFFFF"/>
    <w:lvl w:ilvl="0" w:tplc="E104E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B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E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C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04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26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89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00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20AD"/>
    <w:multiLevelType w:val="hybridMultilevel"/>
    <w:tmpl w:val="DB4A658E"/>
    <w:lvl w:ilvl="0" w:tplc="5C34B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23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4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48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27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8C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8B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7C6C"/>
    <w:multiLevelType w:val="hybridMultilevel"/>
    <w:tmpl w:val="FFFFFFFF"/>
    <w:lvl w:ilvl="0" w:tplc="DF78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2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41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AF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49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65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C0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CDE"/>
    <w:multiLevelType w:val="hybridMultilevel"/>
    <w:tmpl w:val="6C36DFFC"/>
    <w:lvl w:ilvl="0" w:tplc="4A1C9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4F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88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E5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0F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CE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2B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22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A5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2CCC5"/>
    <w:multiLevelType w:val="hybridMultilevel"/>
    <w:tmpl w:val="D6622CC2"/>
    <w:lvl w:ilvl="0" w:tplc="5BE02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C8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E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81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ED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A1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E7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6D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85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DB0F8"/>
    <w:multiLevelType w:val="hybridMultilevel"/>
    <w:tmpl w:val="A9AEF1D8"/>
    <w:lvl w:ilvl="0" w:tplc="AB184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22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6D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8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E1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E5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0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8C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89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7691">
    <w:abstractNumId w:val="2"/>
  </w:num>
  <w:num w:numId="2" w16cid:durableId="1160385066">
    <w:abstractNumId w:val="0"/>
  </w:num>
  <w:num w:numId="3" w16cid:durableId="1850872529">
    <w:abstractNumId w:val="5"/>
  </w:num>
  <w:num w:numId="4" w16cid:durableId="1992251215">
    <w:abstractNumId w:val="4"/>
  </w:num>
  <w:num w:numId="5" w16cid:durableId="51733396">
    <w:abstractNumId w:val="1"/>
  </w:num>
  <w:num w:numId="6" w16cid:durableId="639922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13"/>
    <w:rsid w:val="000034D8"/>
    <w:rsid w:val="0002110F"/>
    <w:rsid w:val="000265FA"/>
    <w:rsid w:val="00037701"/>
    <w:rsid w:val="0007369C"/>
    <w:rsid w:val="00075A2A"/>
    <w:rsid w:val="000E3C5E"/>
    <w:rsid w:val="000F7E9B"/>
    <w:rsid w:val="00153B52"/>
    <w:rsid w:val="001577BA"/>
    <w:rsid w:val="001C7BDA"/>
    <w:rsid w:val="001D4B13"/>
    <w:rsid w:val="001D4CD3"/>
    <w:rsid w:val="00210F9C"/>
    <w:rsid w:val="002111E2"/>
    <w:rsid w:val="0027003C"/>
    <w:rsid w:val="002846A7"/>
    <w:rsid w:val="002918DA"/>
    <w:rsid w:val="002E6D16"/>
    <w:rsid w:val="00320AC6"/>
    <w:rsid w:val="003251CB"/>
    <w:rsid w:val="0033657A"/>
    <w:rsid w:val="00344C68"/>
    <w:rsid w:val="003655FF"/>
    <w:rsid w:val="003735DB"/>
    <w:rsid w:val="003F25E5"/>
    <w:rsid w:val="00401CAE"/>
    <w:rsid w:val="004237D7"/>
    <w:rsid w:val="00424C15"/>
    <w:rsid w:val="004C66B3"/>
    <w:rsid w:val="004F6FE1"/>
    <w:rsid w:val="00535F2E"/>
    <w:rsid w:val="00536513"/>
    <w:rsid w:val="00571294"/>
    <w:rsid w:val="005839BB"/>
    <w:rsid w:val="005869CF"/>
    <w:rsid w:val="0066714D"/>
    <w:rsid w:val="00697F60"/>
    <w:rsid w:val="007168BB"/>
    <w:rsid w:val="00737943"/>
    <w:rsid w:val="00763550"/>
    <w:rsid w:val="007737CE"/>
    <w:rsid w:val="0080172A"/>
    <w:rsid w:val="0083099D"/>
    <w:rsid w:val="00832905"/>
    <w:rsid w:val="008957E6"/>
    <w:rsid w:val="008F185A"/>
    <w:rsid w:val="00963588"/>
    <w:rsid w:val="00A27D3F"/>
    <w:rsid w:val="00A35E47"/>
    <w:rsid w:val="00A43F91"/>
    <w:rsid w:val="00A503AC"/>
    <w:rsid w:val="00A63B13"/>
    <w:rsid w:val="00A81F6E"/>
    <w:rsid w:val="00A944EB"/>
    <w:rsid w:val="00A9527F"/>
    <w:rsid w:val="00AA1B6B"/>
    <w:rsid w:val="00AC6318"/>
    <w:rsid w:val="00AC6C7A"/>
    <w:rsid w:val="00AE1E8D"/>
    <w:rsid w:val="00AE7AE2"/>
    <w:rsid w:val="00AF0038"/>
    <w:rsid w:val="00B30839"/>
    <w:rsid w:val="00B32DAF"/>
    <w:rsid w:val="00B50895"/>
    <w:rsid w:val="00BE5213"/>
    <w:rsid w:val="00BF0E60"/>
    <w:rsid w:val="00C4533A"/>
    <w:rsid w:val="00CD2DD1"/>
    <w:rsid w:val="00D239BD"/>
    <w:rsid w:val="00D27D26"/>
    <w:rsid w:val="00D81595"/>
    <w:rsid w:val="00DC1BE0"/>
    <w:rsid w:val="00DF2CCE"/>
    <w:rsid w:val="00E00601"/>
    <w:rsid w:val="00E23AD6"/>
    <w:rsid w:val="00E850DD"/>
    <w:rsid w:val="00E93AF7"/>
    <w:rsid w:val="00EB1AB9"/>
    <w:rsid w:val="00EC35F3"/>
    <w:rsid w:val="00F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1D235"/>
  <w15:chartTrackingRefBased/>
  <w15:docId w15:val="{A44BAD6F-7C7E-AF4A-88D3-E658367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B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B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B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B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B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B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B13"/>
  </w:style>
  <w:style w:type="paragraph" w:styleId="Stopka">
    <w:name w:val="footer"/>
    <w:basedOn w:val="Normalny"/>
    <w:link w:val="Stopka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B13"/>
  </w:style>
  <w:style w:type="character" w:styleId="Hipercze">
    <w:name w:val="Hyperlink"/>
    <w:basedOn w:val="Domylnaczcionkaakapitu"/>
    <w:uiPriority w:val="99"/>
    <w:unhideWhenUsed/>
    <w:rsid w:val="00DF2C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F2B9C5-0192-5543-8B3C-BBA636E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1210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 Agata</dc:creator>
  <cp:keywords/>
  <dc:description/>
  <cp:lastModifiedBy>Chmiel Agata</cp:lastModifiedBy>
  <cp:revision>42</cp:revision>
  <cp:lastPrinted>2026-02-20T10:09:00Z</cp:lastPrinted>
  <dcterms:created xsi:type="dcterms:W3CDTF">2026-04-09T10:25:00Z</dcterms:created>
  <dcterms:modified xsi:type="dcterms:W3CDTF">2026-06-23T12:24:00Z</dcterms:modified>
</cp:coreProperties>
</file>