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E128B0" w14:textId="77777777" w:rsidR="00AE5277" w:rsidRPr="00AE5277" w:rsidRDefault="00AE5277" w:rsidP="00AE5277">
      <w:pPr>
        <w:jc w:val="center"/>
        <w:rPr>
          <w:b/>
          <w:bCs/>
          <w:sz w:val="20"/>
          <w:szCs w:val="20"/>
        </w:rPr>
      </w:pPr>
      <w:r w:rsidRPr="00AE5277">
        <w:rPr>
          <w:b/>
          <w:bCs/>
          <w:sz w:val="20"/>
          <w:szCs w:val="20"/>
        </w:rPr>
        <w:t>Gminy zyskują czas, niepewność pozostaje</w:t>
      </w:r>
    </w:p>
    <w:p w14:paraId="4673F2C2" w14:textId="77777777" w:rsidR="00AE5277" w:rsidRPr="00BB57E9" w:rsidRDefault="00AE5277" w:rsidP="00AE5277">
      <w:pPr>
        <w:pStyle w:val="FirstParagraph"/>
        <w:jc w:val="both"/>
        <w:rPr>
          <w:rFonts w:ascii="Arial" w:hAnsi="Arial" w:cs="Arial"/>
          <w:b/>
          <w:bCs/>
          <w:color w:val="000000" w:themeColor="text1"/>
          <w:sz w:val="20"/>
          <w:szCs w:val="20"/>
          <w:lang w:val="pl-PL"/>
        </w:rPr>
      </w:pPr>
      <w:r w:rsidRPr="00BB57E9">
        <w:rPr>
          <w:rFonts w:ascii="Arial" w:hAnsi="Arial" w:cs="Arial"/>
          <w:b/>
          <w:bCs/>
          <w:color w:val="000000" w:themeColor="text1"/>
          <w:sz w:val="20"/>
          <w:szCs w:val="20"/>
          <w:lang w:val="pl-PL"/>
        </w:rPr>
        <w:t xml:space="preserve">Nowelizacja ustawy o planowaniu i zagospodarowaniu przestrzennym, podpisana przez Prezydenta 11 czerwca, przedłuża obowiązywanie studiów uwarunkowań i kierunków zagospodarowania przestrzennego do 31 sierpnia 2026 r. Oznacza to kolejne odsunięcie w czasie pełnego wejścia w życie reformy planistycznej. </w:t>
      </w:r>
    </w:p>
    <w:p w14:paraId="0FB68C55" w14:textId="3ED03678" w:rsidR="00AE5277" w:rsidRPr="00BB57E9" w:rsidRDefault="00AE5277" w:rsidP="00AE5277">
      <w:pPr>
        <w:pStyle w:val="BodyText"/>
        <w:jc w:val="both"/>
        <w:rPr>
          <w:color w:val="000000" w:themeColor="text1"/>
          <w:sz w:val="20"/>
          <w:szCs w:val="20"/>
          <w:lang w:val="pl-PL"/>
        </w:rPr>
      </w:pPr>
      <w:r w:rsidRPr="00BB57E9">
        <w:rPr>
          <w:color w:val="000000" w:themeColor="text1"/>
          <w:sz w:val="20"/>
          <w:szCs w:val="20"/>
          <w:lang w:val="pl-PL"/>
        </w:rPr>
        <w:t xml:space="preserve">– </w:t>
      </w:r>
      <w:r w:rsidRPr="00AE5277">
        <w:rPr>
          <w:i/>
          <w:iCs/>
          <w:color w:val="000000" w:themeColor="text1"/>
          <w:sz w:val="20"/>
          <w:szCs w:val="20"/>
          <w:lang w:val="pl-PL"/>
        </w:rPr>
        <w:t xml:space="preserve">Jesteśmy dziś w najtrudniejszym momencie reformy, czyli w okresie przejściowym. Dodatkowe dwa miesiące nie rozwiązują podstawowego problemu, jakim jest niepewność związana z wdrażaniem </w:t>
      </w:r>
      <w:r w:rsidR="00FB58C4">
        <w:rPr>
          <w:i/>
          <w:iCs/>
          <w:color w:val="000000" w:themeColor="text1"/>
          <w:sz w:val="20"/>
          <w:szCs w:val="20"/>
          <w:lang w:val="pl-PL"/>
        </w:rPr>
        <w:t xml:space="preserve">ustawy </w:t>
      </w:r>
      <w:r w:rsidRPr="00AE5277">
        <w:rPr>
          <w:i/>
          <w:iCs/>
          <w:color w:val="000000" w:themeColor="text1"/>
          <w:sz w:val="20"/>
          <w:szCs w:val="20"/>
          <w:lang w:val="pl-PL"/>
        </w:rPr>
        <w:t xml:space="preserve">w gminach. Wakacje to czas ograniczonej liczby sesji rad gmin i miast, a procedury planistyczne mają swoje ustawowe etapy, których nie można pominąć. Wśród dużych miast uchwalony plan ogólny gminy (POG) ma obecnie jedynie Poznań, natomiast część pozostałych dużych ośrodków miejskich może mieć problem, aby zdążyć </w:t>
      </w:r>
      <w:r w:rsidR="00FB58C4">
        <w:rPr>
          <w:i/>
          <w:iCs/>
          <w:color w:val="000000" w:themeColor="text1"/>
          <w:sz w:val="20"/>
          <w:szCs w:val="20"/>
          <w:lang w:val="pl-PL"/>
        </w:rPr>
        <w:t>pomimo wydłużenia terminów</w:t>
      </w:r>
      <w:r w:rsidR="00084335">
        <w:rPr>
          <w:i/>
          <w:iCs/>
          <w:color w:val="000000" w:themeColor="text1"/>
          <w:sz w:val="20"/>
          <w:szCs w:val="20"/>
          <w:lang w:val="pl-PL"/>
        </w:rPr>
        <w:t xml:space="preserve"> </w:t>
      </w:r>
      <w:r w:rsidRPr="00BB57E9">
        <w:rPr>
          <w:color w:val="000000" w:themeColor="text1"/>
          <w:sz w:val="20"/>
          <w:szCs w:val="20"/>
          <w:lang w:val="pl-PL"/>
        </w:rPr>
        <w:t xml:space="preserve">– mówi </w:t>
      </w:r>
      <w:r w:rsidRPr="00AE5277">
        <w:rPr>
          <w:b/>
          <w:bCs/>
          <w:color w:val="000000" w:themeColor="text1"/>
          <w:sz w:val="20"/>
          <w:szCs w:val="20"/>
          <w:lang w:val="pl-PL"/>
        </w:rPr>
        <w:t xml:space="preserve">Karolina Furmańska, Residential &amp; </w:t>
      </w:r>
      <w:proofErr w:type="spellStart"/>
      <w:r w:rsidRPr="00AE5277">
        <w:rPr>
          <w:b/>
          <w:bCs/>
          <w:color w:val="000000" w:themeColor="text1"/>
          <w:sz w:val="20"/>
          <w:szCs w:val="20"/>
          <w:lang w:val="pl-PL"/>
        </w:rPr>
        <w:t>Living</w:t>
      </w:r>
      <w:proofErr w:type="spellEnd"/>
      <w:r w:rsidRPr="00AE5277">
        <w:rPr>
          <w:b/>
          <w:bCs/>
          <w:color w:val="000000" w:themeColor="text1"/>
          <w:sz w:val="20"/>
          <w:szCs w:val="20"/>
          <w:lang w:val="pl-PL"/>
        </w:rPr>
        <w:t xml:space="preserve"> </w:t>
      </w:r>
      <w:proofErr w:type="spellStart"/>
      <w:r w:rsidRPr="00AE5277">
        <w:rPr>
          <w:b/>
          <w:bCs/>
          <w:color w:val="000000" w:themeColor="text1"/>
          <w:sz w:val="20"/>
          <w:szCs w:val="20"/>
          <w:lang w:val="pl-PL"/>
        </w:rPr>
        <w:t>Sector</w:t>
      </w:r>
      <w:proofErr w:type="spellEnd"/>
      <w:r w:rsidRPr="00AE5277">
        <w:rPr>
          <w:b/>
          <w:bCs/>
          <w:color w:val="000000" w:themeColor="text1"/>
          <w:sz w:val="20"/>
          <w:szCs w:val="20"/>
          <w:lang w:val="pl-PL"/>
        </w:rPr>
        <w:t xml:space="preserve"> Manager, </w:t>
      </w:r>
      <w:proofErr w:type="spellStart"/>
      <w:r w:rsidRPr="00AE5277">
        <w:rPr>
          <w:b/>
          <w:bCs/>
          <w:color w:val="000000" w:themeColor="text1"/>
          <w:sz w:val="20"/>
          <w:szCs w:val="20"/>
          <w:lang w:val="pl-PL"/>
        </w:rPr>
        <w:t>Cushman</w:t>
      </w:r>
      <w:proofErr w:type="spellEnd"/>
      <w:r w:rsidRPr="00AE5277">
        <w:rPr>
          <w:b/>
          <w:bCs/>
          <w:color w:val="000000" w:themeColor="text1"/>
          <w:sz w:val="20"/>
          <w:szCs w:val="20"/>
          <w:lang w:val="pl-PL"/>
        </w:rPr>
        <w:t xml:space="preserve"> &amp; Wakefield</w:t>
      </w:r>
      <w:r w:rsidRPr="00BB57E9">
        <w:rPr>
          <w:color w:val="000000" w:themeColor="text1"/>
          <w:sz w:val="20"/>
          <w:szCs w:val="20"/>
          <w:lang w:val="pl-PL"/>
        </w:rPr>
        <w:t>.</w:t>
      </w:r>
    </w:p>
    <w:p w14:paraId="69325D70" w14:textId="63BBC054" w:rsidR="00AE5277" w:rsidRPr="00BB57E9" w:rsidRDefault="00AE5277" w:rsidP="00AE5277">
      <w:pPr>
        <w:pStyle w:val="BodyText"/>
        <w:jc w:val="both"/>
        <w:rPr>
          <w:color w:val="000000" w:themeColor="text1"/>
          <w:sz w:val="20"/>
          <w:szCs w:val="20"/>
          <w:lang w:val="pl-PL"/>
        </w:rPr>
      </w:pPr>
      <w:r w:rsidRPr="00BB57E9">
        <w:rPr>
          <w:color w:val="000000" w:themeColor="text1"/>
          <w:sz w:val="20"/>
          <w:szCs w:val="20"/>
          <w:lang w:val="pl-PL"/>
        </w:rPr>
        <w:t xml:space="preserve">Dla deweloperów oznacza to konieczność jeszcze uważniejszego monitorowania prac nad planami ogólnymi oraz szybkiej weryfikacji portfeli gruntów. Kluczowe będzie nie tylko to, czy dana działka jest atrakcyjna lokalizacyjnie, ale przede wszystkim czy jej potencjał da się realnie wykorzystać w nowym systemie planistycznym. W praktyce może to prowadzić do dużych różnic </w:t>
      </w:r>
      <w:r w:rsidR="00FB58C4">
        <w:rPr>
          <w:color w:val="000000" w:themeColor="text1"/>
          <w:sz w:val="20"/>
          <w:szCs w:val="20"/>
          <w:lang w:val="pl-PL"/>
        </w:rPr>
        <w:t>nawet po</w:t>
      </w:r>
      <w:r w:rsidRPr="00BB57E9">
        <w:rPr>
          <w:color w:val="000000" w:themeColor="text1"/>
          <w:sz w:val="20"/>
          <w:szCs w:val="20"/>
          <w:lang w:val="pl-PL"/>
        </w:rPr>
        <w:t xml:space="preserve">między </w:t>
      </w:r>
      <w:r w:rsidR="00FB58C4">
        <w:rPr>
          <w:color w:val="000000" w:themeColor="text1"/>
          <w:sz w:val="20"/>
          <w:szCs w:val="20"/>
          <w:lang w:val="pl-PL"/>
        </w:rPr>
        <w:t xml:space="preserve">sąsiadującymi </w:t>
      </w:r>
      <w:r w:rsidRPr="00BB57E9">
        <w:rPr>
          <w:color w:val="000000" w:themeColor="text1"/>
          <w:sz w:val="20"/>
          <w:szCs w:val="20"/>
          <w:lang w:val="pl-PL"/>
        </w:rPr>
        <w:t xml:space="preserve">gminami, </w:t>
      </w:r>
      <w:r w:rsidR="00FB58C4">
        <w:rPr>
          <w:color w:val="000000" w:themeColor="text1"/>
          <w:sz w:val="20"/>
          <w:szCs w:val="20"/>
          <w:lang w:val="pl-PL"/>
        </w:rPr>
        <w:t>czy konkretnymi lokalizacjami w gminach</w:t>
      </w:r>
      <w:r w:rsidRPr="00BB57E9">
        <w:rPr>
          <w:color w:val="000000" w:themeColor="text1"/>
          <w:sz w:val="20"/>
          <w:szCs w:val="20"/>
          <w:lang w:val="pl-PL"/>
        </w:rPr>
        <w:t>.</w:t>
      </w:r>
    </w:p>
    <w:p w14:paraId="4C37733E" w14:textId="4F8BD891" w:rsidR="00AE5277" w:rsidRPr="00BB57E9" w:rsidRDefault="00AE5277" w:rsidP="00AE5277">
      <w:pPr>
        <w:pStyle w:val="BodyText"/>
        <w:jc w:val="both"/>
        <w:rPr>
          <w:color w:val="000000" w:themeColor="text1"/>
          <w:sz w:val="20"/>
          <w:szCs w:val="20"/>
          <w:lang w:val="pl-PL"/>
        </w:rPr>
      </w:pPr>
      <w:r w:rsidRPr="00BB57E9">
        <w:rPr>
          <w:color w:val="000000" w:themeColor="text1"/>
          <w:sz w:val="20"/>
          <w:szCs w:val="20"/>
          <w:lang w:val="pl-PL"/>
        </w:rPr>
        <w:t xml:space="preserve">W dłuższej perspektywie wpływ </w:t>
      </w:r>
      <w:r w:rsidR="00FB58C4">
        <w:rPr>
          <w:color w:val="000000" w:themeColor="text1"/>
          <w:sz w:val="20"/>
          <w:szCs w:val="20"/>
          <w:lang w:val="pl-PL"/>
        </w:rPr>
        <w:t>reformy</w:t>
      </w:r>
      <w:r w:rsidRPr="00BB57E9">
        <w:rPr>
          <w:color w:val="000000" w:themeColor="text1"/>
          <w:sz w:val="20"/>
          <w:szCs w:val="20"/>
          <w:lang w:val="pl-PL"/>
        </w:rPr>
        <w:t xml:space="preserve"> na rynek nieruchomości będzie zależał od tego, il</w:t>
      </w:r>
      <w:r w:rsidR="00FB58C4">
        <w:rPr>
          <w:color w:val="000000" w:themeColor="text1"/>
          <w:sz w:val="20"/>
          <w:szCs w:val="20"/>
          <w:lang w:val="pl-PL"/>
        </w:rPr>
        <w:t xml:space="preserve">u </w:t>
      </w:r>
      <w:proofErr w:type="spellStart"/>
      <w:r w:rsidR="00FB58C4">
        <w:rPr>
          <w:color w:val="000000" w:themeColor="text1"/>
          <w:sz w:val="20"/>
          <w:szCs w:val="20"/>
          <w:lang w:val="pl-PL"/>
        </w:rPr>
        <w:t>gimnom</w:t>
      </w:r>
      <w:proofErr w:type="spellEnd"/>
      <w:r w:rsidR="00FB58C4">
        <w:rPr>
          <w:color w:val="000000" w:themeColor="text1"/>
          <w:sz w:val="20"/>
          <w:szCs w:val="20"/>
          <w:lang w:val="pl-PL"/>
        </w:rPr>
        <w:t xml:space="preserve"> uda się uchwalić </w:t>
      </w:r>
      <w:r w:rsidRPr="00BB57E9">
        <w:rPr>
          <w:color w:val="000000" w:themeColor="text1"/>
          <w:sz w:val="20"/>
          <w:szCs w:val="20"/>
          <w:lang w:val="pl-PL"/>
        </w:rPr>
        <w:t xml:space="preserve">POG, jak </w:t>
      </w:r>
      <w:r w:rsidR="00FB58C4">
        <w:rPr>
          <w:color w:val="000000" w:themeColor="text1"/>
          <w:sz w:val="20"/>
          <w:szCs w:val="20"/>
          <w:lang w:val="pl-PL"/>
        </w:rPr>
        <w:t xml:space="preserve">i czy </w:t>
      </w:r>
      <w:r w:rsidRPr="00BB57E9">
        <w:rPr>
          <w:color w:val="000000" w:themeColor="text1"/>
          <w:sz w:val="20"/>
          <w:szCs w:val="20"/>
          <w:lang w:val="pl-PL"/>
        </w:rPr>
        <w:t xml:space="preserve">wyznaczą one obszary uzupełnienia zabudowy (OUZ) i czy nowe narzędzia, w tym </w:t>
      </w:r>
      <w:r w:rsidR="00FB58C4" w:rsidRPr="00BB57E9">
        <w:rPr>
          <w:color w:val="000000" w:themeColor="text1"/>
          <w:sz w:val="20"/>
          <w:szCs w:val="20"/>
          <w:lang w:val="pl-PL"/>
        </w:rPr>
        <w:t>zintegrowan</w:t>
      </w:r>
      <w:r w:rsidR="00FB58C4">
        <w:rPr>
          <w:color w:val="000000" w:themeColor="text1"/>
          <w:sz w:val="20"/>
          <w:szCs w:val="20"/>
          <w:lang w:val="pl-PL"/>
        </w:rPr>
        <w:t>e</w:t>
      </w:r>
      <w:r w:rsidR="00FB58C4" w:rsidRPr="00BB57E9">
        <w:rPr>
          <w:color w:val="000000" w:themeColor="text1"/>
          <w:sz w:val="20"/>
          <w:szCs w:val="20"/>
          <w:lang w:val="pl-PL"/>
        </w:rPr>
        <w:t xml:space="preserve"> </w:t>
      </w:r>
      <w:r w:rsidRPr="00BB57E9">
        <w:rPr>
          <w:color w:val="000000" w:themeColor="text1"/>
          <w:sz w:val="20"/>
          <w:szCs w:val="20"/>
          <w:lang w:val="pl-PL"/>
        </w:rPr>
        <w:t>plan</w:t>
      </w:r>
      <w:r w:rsidR="00FB58C4">
        <w:rPr>
          <w:color w:val="000000" w:themeColor="text1"/>
          <w:sz w:val="20"/>
          <w:szCs w:val="20"/>
          <w:lang w:val="pl-PL"/>
        </w:rPr>
        <w:t>y</w:t>
      </w:r>
      <w:r w:rsidRPr="00BB57E9">
        <w:rPr>
          <w:color w:val="000000" w:themeColor="text1"/>
          <w:sz w:val="20"/>
          <w:szCs w:val="20"/>
          <w:lang w:val="pl-PL"/>
        </w:rPr>
        <w:t xml:space="preserve"> inwestycyjn</w:t>
      </w:r>
      <w:r w:rsidR="00FB58C4">
        <w:rPr>
          <w:color w:val="000000" w:themeColor="text1"/>
          <w:sz w:val="20"/>
          <w:szCs w:val="20"/>
          <w:lang w:val="pl-PL"/>
        </w:rPr>
        <w:t>e</w:t>
      </w:r>
      <w:r w:rsidRPr="00BB57E9">
        <w:rPr>
          <w:color w:val="000000" w:themeColor="text1"/>
          <w:sz w:val="20"/>
          <w:szCs w:val="20"/>
          <w:lang w:val="pl-PL"/>
        </w:rPr>
        <w:t xml:space="preserve"> (ZPI), będą stosowane </w:t>
      </w:r>
      <w:r w:rsidR="00FB58C4">
        <w:rPr>
          <w:color w:val="000000" w:themeColor="text1"/>
          <w:sz w:val="20"/>
          <w:szCs w:val="20"/>
          <w:lang w:val="pl-PL"/>
        </w:rPr>
        <w:t xml:space="preserve">w sposób uporządkowany i </w:t>
      </w:r>
      <w:proofErr w:type="spellStart"/>
      <w:r w:rsidR="00FB58C4">
        <w:rPr>
          <w:color w:val="000000" w:themeColor="text1"/>
          <w:sz w:val="20"/>
          <w:szCs w:val="20"/>
          <w:lang w:val="pl-PL"/>
        </w:rPr>
        <w:t>przewidywalny</w:t>
      </w:r>
      <w:r w:rsidRPr="00BB57E9">
        <w:rPr>
          <w:color w:val="000000" w:themeColor="text1"/>
          <w:sz w:val="20"/>
          <w:szCs w:val="20"/>
          <w:lang w:val="pl-PL"/>
        </w:rPr>
        <w:t>e</w:t>
      </w:r>
      <w:proofErr w:type="spellEnd"/>
      <w:r w:rsidRPr="00BB57E9">
        <w:rPr>
          <w:color w:val="000000" w:themeColor="text1"/>
          <w:sz w:val="20"/>
          <w:szCs w:val="20"/>
          <w:lang w:val="pl-PL"/>
        </w:rPr>
        <w:t xml:space="preserve">. </w:t>
      </w:r>
      <w:r w:rsidR="00FB58C4">
        <w:rPr>
          <w:color w:val="000000" w:themeColor="text1"/>
          <w:sz w:val="20"/>
          <w:szCs w:val="20"/>
          <w:lang w:val="pl-PL"/>
        </w:rPr>
        <w:t xml:space="preserve">Będzie to miało </w:t>
      </w:r>
      <w:r w:rsidRPr="00BB57E9">
        <w:rPr>
          <w:color w:val="000000" w:themeColor="text1"/>
          <w:sz w:val="20"/>
          <w:szCs w:val="20"/>
          <w:lang w:val="pl-PL"/>
        </w:rPr>
        <w:t>bezpośrednie znaczenie dla podaży gruntów, tempa uruchamiania nowych inwestycji i kosztów przygotowania projektów.</w:t>
      </w:r>
    </w:p>
    <w:p w14:paraId="064CFE66" w14:textId="77777777" w:rsidR="00AE5277" w:rsidRPr="00BB57E9" w:rsidRDefault="00AE5277" w:rsidP="00AE5277">
      <w:pPr>
        <w:pStyle w:val="BodyText"/>
        <w:jc w:val="both"/>
        <w:rPr>
          <w:color w:val="000000" w:themeColor="text1"/>
          <w:sz w:val="20"/>
          <w:szCs w:val="20"/>
          <w:lang w:val="pl-PL"/>
        </w:rPr>
      </w:pPr>
      <w:r w:rsidRPr="00BB57E9">
        <w:rPr>
          <w:color w:val="000000" w:themeColor="text1"/>
          <w:sz w:val="20"/>
          <w:szCs w:val="20"/>
          <w:lang w:val="pl-PL"/>
        </w:rPr>
        <w:t>Nowelizacja rozszerza również katalog inwestycji uzupełniających, dopuszcza objęcie ZPI także innych terenów niż sama inwestycja główna i uzupełniająca, a także pozwala na zmianę obowiązującego planu miejscowego w formule ZPI, jeżeli taki plan już obowiązuje dla obszaru inwestycji. Rada gminy będzie mogła nałożyć na inwestora obowiązek dołączenia koncepcji urbanistyczno-architektonicznej, a inwestor będzie mógł jeszcze przed zawarciem umowy urbanistycznej zobowiązać się do pokrycia całości lub części kosztów postępowania planistycznego.</w:t>
      </w:r>
    </w:p>
    <w:p w14:paraId="52C83F9B" w14:textId="77777777" w:rsidR="00AE5277" w:rsidRPr="00BB57E9" w:rsidRDefault="00AE5277" w:rsidP="00AE5277">
      <w:pPr>
        <w:pStyle w:val="BodyText"/>
        <w:jc w:val="both"/>
        <w:rPr>
          <w:color w:val="000000" w:themeColor="text1"/>
          <w:sz w:val="20"/>
          <w:szCs w:val="20"/>
          <w:lang w:val="pl-PL"/>
        </w:rPr>
      </w:pPr>
      <w:r w:rsidRPr="00BB57E9">
        <w:rPr>
          <w:color w:val="000000" w:themeColor="text1"/>
          <w:sz w:val="20"/>
          <w:szCs w:val="20"/>
          <w:lang w:val="pl-PL"/>
        </w:rPr>
        <w:t>Z punktu widzenia inwestorów szczególnie istotne jest również wprowadzenie instrukcyjnych terminów dla rady gminy i sądów administracyjnych w sprawach ZPI oraz wydłużenie czasu na weryfikację wniosku przez wójta, burmistrza albo prezydenta miasta z 3 do 14 dni roboczych. Z jednej strony oznacza to dłuższy pierwszy etap formalny, z drugiej – może zwiększyć przewidywalność całej procedury.</w:t>
      </w:r>
    </w:p>
    <w:p w14:paraId="673D121F" w14:textId="77777777" w:rsidR="00AE5277" w:rsidRPr="00BB57E9" w:rsidRDefault="00AE5277" w:rsidP="00AE5277">
      <w:pPr>
        <w:pStyle w:val="NormalWeb"/>
        <w:jc w:val="both"/>
        <w:rPr>
          <w:rFonts w:ascii="Arial" w:hAnsi="Arial" w:cs="Arial"/>
          <w:sz w:val="20"/>
          <w:szCs w:val="20"/>
        </w:rPr>
      </w:pPr>
      <w:r w:rsidRPr="00BB57E9">
        <w:rPr>
          <w:rFonts w:ascii="Arial" w:hAnsi="Arial" w:cs="Arial"/>
          <w:color w:val="000000" w:themeColor="text1"/>
          <w:sz w:val="20"/>
          <w:szCs w:val="20"/>
        </w:rPr>
        <w:t xml:space="preserve">– </w:t>
      </w:r>
      <w:r w:rsidRPr="00AE5277">
        <w:rPr>
          <w:rFonts w:ascii="Arial" w:hAnsi="Arial" w:cs="Arial"/>
          <w:i/>
          <w:iCs/>
          <w:sz w:val="20"/>
          <w:szCs w:val="20"/>
        </w:rPr>
        <w:t xml:space="preserve">ZPI, który ma zastępować i rozszerzać ustawę „lex deweloper”, może być bardzo dobrym narzędziem, gdy nie ma planu lub nie spełnia on naszych oczekiwań – zwłaszcza przy większych projektach. Jednocześnie daje realną możliwość partycypacji zarówno gminie, jak i lokalnej społeczności. To nie jest jednak szybka ścieżka </w:t>
      </w:r>
      <w:r w:rsidRPr="00AE5277">
        <w:rPr>
          <w:rFonts w:ascii="Arial" w:hAnsi="Arial" w:cs="Arial"/>
          <w:i/>
          <w:iCs/>
          <w:sz w:val="20"/>
          <w:szCs w:val="20"/>
        </w:rPr>
        <w:lastRenderedPageBreak/>
        <w:t>administracyjna, ale proces wymagający dobrego przygotowania, transparentności i realnego pokazania, co inwestycja wnosi do przestrzeni. ZPI pozwala gminom oraz lokalnej społeczności wpływać na kształt projektu i daje możliwość negocjowania inwestycji uzupełniających. Dla inwestora oznacza natomiast konieczność znacznie wcześniejszego planowania scenariusza dojścia do realizacji inwestycji i zdecydowanie wyższe koszty realizacji projektu</w:t>
      </w:r>
      <w:r w:rsidRPr="00BB57E9">
        <w:rPr>
          <w:rFonts w:ascii="Arial" w:hAnsi="Arial" w:cs="Arial"/>
          <w:sz w:val="20"/>
          <w:szCs w:val="20"/>
        </w:rPr>
        <w:t xml:space="preserve"> – dodaje ekspertka </w:t>
      </w:r>
      <w:proofErr w:type="spellStart"/>
      <w:r w:rsidRPr="00BB57E9">
        <w:rPr>
          <w:rFonts w:ascii="Arial" w:hAnsi="Arial" w:cs="Arial"/>
          <w:sz w:val="20"/>
          <w:szCs w:val="20"/>
        </w:rPr>
        <w:t>Cushman</w:t>
      </w:r>
      <w:proofErr w:type="spellEnd"/>
      <w:r w:rsidRPr="00BB57E9">
        <w:rPr>
          <w:rFonts w:ascii="Arial" w:hAnsi="Arial" w:cs="Arial"/>
          <w:sz w:val="20"/>
          <w:szCs w:val="20"/>
        </w:rPr>
        <w:t xml:space="preserve"> &amp; Wakefield. </w:t>
      </w:r>
    </w:p>
    <w:p w14:paraId="2CED0FEC" w14:textId="0210339C" w:rsidR="00AE5277" w:rsidRPr="00BB57E9" w:rsidRDefault="00AE5277" w:rsidP="00AE5277">
      <w:pPr>
        <w:pStyle w:val="BodyText"/>
        <w:jc w:val="both"/>
        <w:rPr>
          <w:color w:val="000000" w:themeColor="text1"/>
          <w:sz w:val="20"/>
          <w:szCs w:val="20"/>
          <w:lang w:val="pl-PL"/>
        </w:rPr>
      </w:pPr>
      <w:r w:rsidRPr="00BB57E9">
        <w:rPr>
          <w:color w:val="000000" w:themeColor="text1"/>
          <w:sz w:val="20"/>
          <w:szCs w:val="20"/>
          <w:lang w:val="pl-PL"/>
        </w:rPr>
        <w:t>Największą zmianą dla rynku może okazać się jednak ograniczenie kręgu podmiotów mogących występować o decyzje o warunkach zabudowy (WZ)</w:t>
      </w:r>
      <w:r w:rsidR="00FB58C4">
        <w:rPr>
          <w:color w:val="000000" w:themeColor="text1"/>
          <w:sz w:val="20"/>
          <w:szCs w:val="20"/>
          <w:lang w:val="pl-PL"/>
        </w:rPr>
        <w:t>, które ma nastąpić od początku nowego roku</w:t>
      </w:r>
      <w:r w:rsidRPr="00BB57E9">
        <w:rPr>
          <w:color w:val="000000" w:themeColor="text1"/>
          <w:sz w:val="20"/>
          <w:szCs w:val="20"/>
          <w:lang w:val="pl-PL"/>
        </w:rPr>
        <w:t>. Taką możliwością będzie dysponował jedynie podmiot posiadający prawo do dysponowania nieruchomością na cele budowlane. Zatem składanie przez potencjalnych nabywców wielu wariantowych wniosków o WZ jeszcze przed zakupem gruntu nie będzie możliwe, co dotąd bywało narzędziem do badania potencjału inwestycyjnego nieruchomości. Nowe zasady zwiększą znaczenie wcześniejszego badania statusu planistycznego działki, jakości lokalnych dokumentów oraz realnych możliwości uzyskania zgód administracyjnych. Grunty z jasną sytuacją planistyczną mogą zyskać na atrakcyjności, a nieruchomości o niepewnym potencjale będą wymagały bardziej konserwatywnej wyceny i dłuższego horyzontu przygotowania inwestycji.</w:t>
      </w:r>
    </w:p>
    <w:p w14:paraId="1D88905A" w14:textId="36E2B1D6" w:rsidR="00AE5277" w:rsidRPr="00BB57E9" w:rsidRDefault="00AE5277" w:rsidP="00AE5277">
      <w:pPr>
        <w:pStyle w:val="BodyText"/>
        <w:jc w:val="both"/>
        <w:rPr>
          <w:color w:val="000000" w:themeColor="text1"/>
          <w:sz w:val="20"/>
          <w:szCs w:val="20"/>
          <w:lang w:val="pl-PL"/>
        </w:rPr>
      </w:pPr>
      <w:r w:rsidRPr="00BB57E9">
        <w:rPr>
          <w:color w:val="000000" w:themeColor="text1"/>
          <w:sz w:val="20"/>
          <w:szCs w:val="20"/>
          <w:lang w:val="pl-PL"/>
        </w:rPr>
        <w:t xml:space="preserve">– </w:t>
      </w:r>
      <w:r w:rsidRPr="00AE5277">
        <w:rPr>
          <w:i/>
          <w:iCs/>
          <w:color w:val="000000" w:themeColor="text1"/>
          <w:sz w:val="20"/>
          <w:szCs w:val="20"/>
          <w:lang w:val="pl-PL"/>
        </w:rPr>
        <w:t xml:space="preserve">Inwestorzy będą musieli działać w znacznie bardziej złożonym systemie. W praktyce analiza projektu będzie zaczynała się od pytań: czy gmina ma plan ogólny, czy jest miejscowy plan, czy teren znajduje się w obszarze uzupełnienia zabudowy, czy możliwa jest decyzja WZ, a może właściwą ścieżką będzie jednak ZPI. Planowanie przestrzenne staje się jednym z kluczowych elementów </w:t>
      </w:r>
      <w:proofErr w:type="spellStart"/>
      <w:r w:rsidRPr="00AE5277">
        <w:rPr>
          <w:i/>
          <w:iCs/>
          <w:color w:val="000000" w:themeColor="text1"/>
          <w:sz w:val="20"/>
          <w:szCs w:val="20"/>
          <w:lang w:val="pl-PL"/>
        </w:rPr>
        <w:t>due</w:t>
      </w:r>
      <w:proofErr w:type="spellEnd"/>
      <w:r w:rsidRPr="00AE5277">
        <w:rPr>
          <w:i/>
          <w:iCs/>
          <w:color w:val="000000" w:themeColor="text1"/>
          <w:sz w:val="20"/>
          <w:szCs w:val="20"/>
          <w:lang w:val="pl-PL"/>
        </w:rPr>
        <w:t xml:space="preserve"> </w:t>
      </w:r>
      <w:proofErr w:type="spellStart"/>
      <w:r w:rsidRPr="00AE5277">
        <w:rPr>
          <w:i/>
          <w:iCs/>
          <w:color w:val="000000" w:themeColor="text1"/>
          <w:sz w:val="20"/>
          <w:szCs w:val="20"/>
          <w:lang w:val="pl-PL"/>
        </w:rPr>
        <w:t>diligence</w:t>
      </w:r>
      <w:proofErr w:type="spellEnd"/>
      <w:r w:rsidR="00084335">
        <w:rPr>
          <w:i/>
          <w:iCs/>
          <w:color w:val="000000" w:themeColor="text1"/>
          <w:sz w:val="20"/>
          <w:szCs w:val="20"/>
          <w:lang w:val="pl-PL"/>
        </w:rPr>
        <w:t xml:space="preserve"> </w:t>
      </w:r>
      <w:r w:rsidRPr="00BB57E9">
        <w:rPr>
          <w:color w:val="000000" w:themeColor="text1"/>
          <w:sz w:val="20"/>
          <w:szCs w:val="20"/>
          <w:lang w:val="pl-PL"/>
        </w:rPr>
        <w:t xml:space="preserve">– podkreśla </w:t>
      </w:r>
      <w:r w:rsidRPr="00AE5277">
        <w:rPr>
          <w:b/>
          <w:bCs/>
          <w:color w:val="000000" w:themeColor="text1"/>
          <w:sz w:val="20"/>
          <w:szCs w:val="20"/>
          <w:lang w:val="pl-PL"/>
        </w:rPr>
        <w:t>Karolina Furmańska.</w:t>
      </w:r>
    </w:p>
    <w:p w14:paraId="1B168857" w14:textId="77777777" w:rsidR="00AE5277" w:rsidRPr="00BB57E9" w:rsidRDefault="00AE5277" w:rsidP="00AE5277">
      <w:pPr>
        <w:pStyle w:val="BodyText"/>
        <w:jc w:val="both"/>
        <w:rPr>
          <w:color w:val="000000" w:themeColor="text1"/>
          <w:sz w:val="20"/>
          <w:szCs w:val="20"/>
          <w:lang w:val="pl-PL"/>
        </w:rPr>
      </w:pPr>
      <w:r w:rsidRPr="00BB57E9">
        <w:rPr>
          <w:color w:val="000000" w:themeColor="text1"/>
          <w:sz w:val="20"/>
          <w:szCs w:val="20"/>
          <w:lang w:val="pl-PL"/>
        </w:rPr>
        <w:t xml:space="preserve">Nowelizacja porządkuje również część rozwiązań cyfrowych, w tym zasady działania </w:t>
      </w:r>
      <w:proofErr w:type="spellStart"/>
      <w:r w:rsidRPr="00BB57E9">
        <w:rPr>
          <w:color w:val="000000" w:themeColor="text1"/>
          <w:sz w:val="20"/>
          <w:szCs w:val="20"/>
          <w:lang w:val="pl-PL"/>
        </w:rPr>
        <w:t>newslettera</w:t>
      </w:r>
      <w:proofErr w:type="spellEnd"/>
      <w:r w:rsidRPr="00BB57E9">
        <w:rPr>
          <w:color w:val="000000" w:themeColor="text1"/>
          <w:sz w:val="20"/>
          <w:szCs w:val="20"/>
          <w:lang w:val="pl-PL"/>
        </w:rPr>
        <w:t xml:space="preserve"> planistycznego i Rejestru Urbanistycznego. Projekty planów i innych dokumentów będą mogły być udostępniane w BIP przez dodatkowe trzy miesiące po uruchomieniu Rejestru Urbanistycznego, czyli do 1 października 2026 r. Przesunięto także o trzy lata, do 1 lipca 2029 r., wejście w życie przepisów rozszerzających zakres danych przestrzennych dla miejscowych planów zagospodarowania przestrzennego oraz termin udostępniania tych danych w Rejestrze Urbanistycznym.</w:t>
      </w:r>
    </w:p>
    <w:p w14:paraId="7FCB7064" w14:textId="42B421DC" w:rsidR="00F377AF" w:rsidRDefault="00F377AF">
      <w:pPr>
        <w:spacing w:before="240" w:after="240" w:line="240" w:lineRule="auto"/>
        <w:jc w:val="both"/>
        <w:rPr>
          <w:sz w:val="20"/>
          <w:szCs w:val="20"/>
        </w:rPr>
      </w:pPr>
      <w:bookmarkStart w:id="0" w:name="bookmark=id.ubkh4nie3u8k" w:colFirst="0" w:colLast="0"/>
      <w:bookmarkEnd w:id="0"/>
    </w:p>
    <w:p w14:paraId="3AA3972D" w14:textId="77777777" w:rsidR="00F377AF" w:rsidRDefault="00F377AF">
      <w:pPr>
        <w:spacing w:line="240" w:lineRule="auto"/>
        <w:jc w:val="both"/>
        <w:rPr>
          <w:sz w:val="20"/>
          <w:szCs w:val="20"/>
        </w:rPr>
      </w:pPr>
    </w:p>
    <w:p w14:paraId="30EB7416" w14:textId="77777777" w:rsidR="00F377AF" w:rsidRDefault="0092030B">
      <w:pPr>
        <w:jc w:val="center"/>
        <w:rPr>
          <w:sz w:val="16"/>
          <w:szCs w:val="16"/>
        </w:rPr>
      </w:pPr>
      <w:r>
        <w:rPr>
          <w:sz w:val="16"/>
          <w:szCs w:val="16"/>
        </w:rPr>
        <w:t xml:space="preserve">- </w:t>
      </w:r>
      <w:r>
        <w:rPr>
          <w:b/>
          <w:bCs/>
          <w:sz w:val="16"/>
          <w:szCs w:val="16"/>
        </w:rPr>
        <w:t>KONIEC -</w:t>
      </w:r>
    </w:p>
    <w:p w14:paraId="53D1488E" w14:textId="77777777" w:rsidR="00F377AF" w:rsidRDefault="00F377AF">
      <w:pPr>
        <w:spacing w:line="240" w:lineRule="auto"/>
        <w:jc w:val="both"/>
        <w:rPr>
          <w:b/>
          <w:bCs/>
          <w:sz w:val="20"/>
          <w:szCs w:val="20"/>
        </w:rPr>
      </w:pPr>
    </w:p>
    <w:p w14:paraId="1ED96440" w14:textId="77777777" w:rsidR="00F377AF" w:rsidRDefault="0092030B">
      <w:pPr>
        <w:spacing w:line="240" w:lineRule="auto"/>
        <w:jc w:val="both"/>
        <w:rPr>
          <w:b/>
          <w:bCs/>
          <w:sz w:val="20"/>
          <w:szCs w:val="20"/>
        </w:rPr>
      </w:pPr>
      <w:r>
        <w:rPr>
          <w:b/>
          <w:bCs/>
          <w:sz w:val="16"/>
          <w:szCs w:val="16"/>
        </w:rPr>
        <w:t xml:space="preserve">O </w:t>
      </w:r>
      <w:proofErr w:type="spellStart"/>
      <w:r>
        <w:rPr>
          <w:b/>
          <w:bCs/>
          <w:sz w:val="16"/>
          <w:szCs w:val="16"/>
        </w:rPr>
        <w:t>Cushman</w:t>
      </w:r>
      <w:proofErr w:type="spellEnd"/>
      <w:r>
        <w:rPr>
          <w:b/>
          <w:bCs/>
          <w:sz w:val="16"/>
          <w:szCs w:val="16"/>
        </w:rPr>
        <w:t xml:space="preserve"> &amp; Wakefield</w:t>
      </w:r>
    </w:p>
    <w:p w14:paraId="14E7BDF9" w14:textId="77777777" w:rsidR="00F377AF" w:rsidRDefault="0092030B">
      <w:pPr>
        <w:jc w:val="both"/>
        <w:rPr>
          <w:sz w:val="16"/>
          <w:szCs w:val="16"/>
        </w:rPr>
      </w:pPr>
      <w:proofErr w:type="spellStart"/>
      <w:r>
        <w:rPr>
          <w:sz w:val="16"/>
          <w:szCs w:val="16"/>
        </w:rPr>
        <w:t>Cushman</w:t>
      </w:r>
      <w:proofErr w:type="spellEnd"/>
      <w:r>
        <w:rPr>
          <w:sz w:val="16"/>
          <w:szCs w:val="16"/>
        </w:rPr>
        <w:t xml:space="preserve"> &amp; Wakefield (NYSE: CWK) jest wiodącą na świecie firmą świadczącą usługi na rzecz właścicieli i najemców nieruchomości komercyjnych. Zatrudnia ok. 52 tys. pracowników w niemal 400 biurach i 60 krajach na całym świecie. W 2024 roku jej przychody wyniosły 9,4 mld USD. Do najważniejszych usług świadczonych przez firmę należą m.in. zarządzanie nieruchomościami, obiektami i projektami, pośrednictwo w wynajmie powierzchni, obsługa transakcji na rynkach kapitałowych oraz wyceny. Za nieustanne dążenie do doskonałości </w:t>
      </w:r>
      <w:r>
        <w:rPr>
          <w:sz w:val="16"/>
          <w:szCs w:val="16"/>
        </w:rPr>
        <w:lastRenderedPageBreak/>
        <w:t>zgodnie z zasadą </w:t>
      </w:r>
      <w:proofErr w:type="spellStart"/>
      <w:r>
        <w:rPr>
          <w:i/>
          <w:iCs/>
          <w:sz w:val="16"/>
          <w:szCs w:val="16"/>
        </w:rPr>
        <w:t>Better</w:t>
      </w:r>
      <w:proofErr w:type="spellEnd"/>
      <w:r>
        <w:rPr>
          <w:i/>
          <w:iCs/>
          <w:sz w:val="16"/>
          <w:szCs w:val="16"/>
        </w:rPr>
        <w:t xml:space="preserve"> </w:t>
      </w:r>
      <w:proofErr w:type="spellStart"/>
      <w:r>
        <w:rPr>
          <w:i/>
          <w:iCs/>
          <w:sz w:val="16"/>
          <w:szCs w:val="16"/>
        </w:rPr>
        <w:t>never</w:t>
      </w:r>
      <w:proofErr w:type="spellEnd"/>
      <w:r>
        <w:rPr>
          <w:i/>
          <w:iCs/>
          <w:sz w:val="16"/>
          <w:szCs w:val="16"/>
        </w:rPr>
        <w:t xml:space="preserve"> </w:t>
      </w:r>
      <w:proofErr w:type="spellStart"/>
      <w:r>
        <w:rPr>
          <w:i/>
          <w:iCs/>
          <w:sz w:val="16"/>
          <w:szCs w:val="16"/>
        </w:rPr>
        <w:t>settles</w:t>
      </w:r>
      <w:proofErr w:type="spellEnd"/>
      <w:r>
        <w:rPr>
          <w:sz w:val="16"/>
          <w:szCs w:val="16"/>
        </w:rPr>
        <w:t> </w:t>
      </w:r>
      <w:proofErr w:type="spellStart"/>
      <w:r>
        <w:rPr>
          <w:sz w:val="16"/>
          <w:szCs w:val="16"/>
        </w:rPr>
        <w:t>Cushman</w:t>
      </w:r>
      <w:proofErr w:type="spellEnd"/>
      <w:r>
        <w:rPr>
          <w:sz w:val="16"/>
          <w:szCs w:val="16"/>
        </w:rPr>
        <w:t xml:space="preserve"> &amp; Wakefield otrzymuje wiele wyróżnień oraz nagród w konkursach branżowych i biznesowych. Dodatkowe informacje na stronie </w:t>
      </w:r>
      <w:hyperlink r:id="rId7">
        <w:r w:rsidR="00F377AF">
          <w:rPr>
            <w:color w:val="4472C4"/>
            <w:sz w:val="16"/>
            <w:szCs w:val="16"/>
            <w:u w:val="single"/>
          </w:rPr>
          <w:t>www.cushmanwakefield.com</w:t>
        </w:r>
      </w:hyperlink>
      <w:r>
        <w:rPr>
          <w:sz w:val="16"/>
          <w:szCs w:val="16"/>
        </w:rPr>
        <w:t xml:space="preserve">. </w:t>
      </w:r>
    </w:p>
    <w:p w14:paraId="196FC151" w14:textId="77777777" w:rsidR="00F377AF" w:rsidRDefault="00F377AF">
      <w:pPr>
        <w:jc w:val="center"/>
        <w:rPr>
          <w:sz w:val="16"/>
          <w:szCs w:val="16"/>
        </w:rPr>
      </w:pPr>
    </w:p>
    <w:sectPr w:rsidR="00F377AF">
      <w:headerReference w:type="default" r:id="rId8"/>
      <w:footerReference w:type="default" r:id="rId9"/>
      <w:headerReference w:type="first" r:id="rId10"/>
      <w:footerReference w:type="first" r:id="rId11"/>
      <w:pgSz w:w="11907" w:h="16839"/>
      <w:pgMar w:top="3600" w:right="1008" w:bottom="2880" w:left="1224" w:header="180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72BF20" w14:textId="77777777" w:rsidR="00B52617" w:rsidRDefault="00B52617">
      <w:pPr>
        <w:spacing w:after="0" w:line="240" w:lineRule="auto"/>
      </w:pPr>
      <w:r>
        <w:separator/>
      </w:r>
    </w:p>
  </w:endnote>
  <w:endnote w:type="continuationSeparator" w:id="0">
    <w:p w14:paraId="13F1B76D" w14:textId="77777777" w:rsidR="00B52617" w:rsidRDefault="00B52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0E7FA27E-C167-C243-B8D1-B857C0082766}"/>
    <w:embedBold r:id="rId2" w:fontKey="{C6EDA553-9438-7448-A20E-BAD928891307}"/>
    <w:embedItalic r:id="rId3" w:fontKey="{829C7472-D767-AD46-9B3F-E9F9FDFD80D0}"/>
  </w:font>
  <w:font w:name="Calibri">
    <w:panose1 w:val="020F0502020204030204"/>
    <w:charset w:val="00"/>
    <w:family w:val="swiss"/>
    <w:pitch w:val="variable"/>
    <w:sig w:usb0="E0002AFF" w:usb1="C000247B" w:usb2="00000009" w:usb3="00000000" w:csb0="000001FF" w:csb1="00000000"/>
    <w:embedRegular r:id="rId4" w:fontKey="{70F66E3B-F0E2-6849-A3EB-CDF31CAE5CCD}"/>
    <w:embedBold r:id="rId5" w:fontKey="{4E606C2D-8074-3A43-BAF9-045C209BAF3A}"/>
  </w:font>
  <w:font w:name="Times New Roman">
    <w:panose1 w:val="02020603050405020304"/>
    <w:charset w:val="00"/>
    <w:family w:val="roman"/>
    <w:pitch w:val="variable"/>
    <w:sig w:usb0="E0002EFF" w:usb1="C000785B" w:usb2="00000009" w:usb3="00000000" w:csb0="000001FF" w:csb1="00000000"/>
    <w:embedRegular r:id="rId6" w:fontKey="{94773F9E-ECC5-BD44-AA90-FAF48D6A325E}"/>
    <w:embedBold r:id="rId7" w:fontKey="{AEC23109-7D47-9044-8E89-031185CCF123}"/>
    <w:embedItalic r:id="rId8" w:fontKey="{3C6C021C-C3A8-3D43-ADFE-469738B34125}"/>
  </w:font>
  <w:font w:name="Georgia">
    <w:panose1 w:val="02040502050405020303"/>
    <w:charset w:val="00"/>
    <w:family w:val="roman"/>
    <w:pitch w:val="variable"/>
    <w:sig w:usb0="00000287" w:usb1="00000000" w:usb2="00000000" w:usb3="00000000" w:csb0="0000009F" w:csb1="00000000"/>
    <w:embedItalic r:id="rId9" w:fontKey="{C018C3BC-93F7-CA4E-AC94-8C7A9DDFD8CC}"/>
  </w:font>
  <w:font w:name="Cambria">
    <w:panose1 w:val="02040503050406030204"/>
    <w:charset w:val="00"/>
    <w:family w:val="roman"/>
    <w:pitch w:val="variable"/>
    <w:sig w:usb0="E00002FF" w:usb1="400004FF" w:usb2="00000000" w:usb3="00000000" w:csb0="0000019F" w:csb1="00000000"/>
    <w:embedRegular r:id="rId10" w:fontKey="{A7AE1AC3-7A75-1847-8E34-216CDE4C0533}"/>
    <w:embedBold r:id="rId11" w:fontKey="{E598411A-9AB6-DF4C-AF94-38CA56FAB0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47E05" w14:textId="77777777" w:rsidR="00F377AF" w:rsidRDefault="00F377AF">
    <w:pPr>
      <w:widowControl w:val="0"/>
      <w:pBdr>
        <w:top w:val="nil"/>
        <w:left w:val="nil"/>
        <w:bottom w:val="nil"/>
        <w:right w:val="nil"/>
        <w:between w:val="nil"/>
      </w:pBdr>
      <w:spacing w:after="0"/>
      <w:rPr>
        <w:color w:val="000000"/>
      </w:rPr>
    </w:pPr>
  </w:p>
  <w:tbl>
    <w:tblPr>
      <w:tblStyle w:val="a"/>
      <w:tblW w:w="9000" w:type="dxa"/>
      <w:tblInd w:w="0" w:type="dxa"/>
      <w:tblLayout w:type="fixed"/>
      <w:tblLook w:val="0400" w:firstRow="0" w:lastRow="0" w:firstColumn="0" w:lastColumn="0" w:noHBand="0" w:noVBand="1"/>
    </w:tblPr>
    <w:tblGrid>
      <w:gridCol w:w="9000"/>
    </w:tblGrid>
    <w:tr w:rsidR="00F377AF" w14:paraId="052282BE" w14:textId="77777777" w:rsidTr="006059C6">
      <w:trPr>
        <w:trHeight w:val="630"/>
      </w:trPr>
      <w:tc>
        <w:tcPr>
          <w:tcW w:w="9000" w:type="dxa"/>
          <w:vAlign w:val="bottom"/>
        </w:tcPr>
        <w:p w14:paraId="7FC35F0D" w14:textId="77777777" w:rsidR="00F377AF" w:rsidRDefault="0092030B">
          <w:pPr>
            <w:pStyle w:val="Heading2"/>
            <w:rPr>
              <w:rFonts w:ascii="Arial" w:eastAsia="Arial" w:hAnsi="Arial" w:cs="Arial"/>
              <w:color w:val="000000"/>
            </w:rPr>
          </w:pPr>
          <w:r>
            <w:rPr>
              <w:rFonts w:ascii="Arial" w:eastAsia="Arial" w:hAnsi="Arial" w:cs="Arial"/>
              <w:color w:val="000000"/>
            </w:rPr>
            <w:t>Dodatkowe informacje:</w:t>
          </w:r>
        </w:p>
      </w:tc>
    </w:tr>
    <w:tr w:rsidR="00F377AF" w:rsidRPr="00E771B5" w14:paraId="2F583633" w14:textId="77777777" w:rsidTr="006059C6">
      <w:trPr>
        <w:trHeight w:val="1260"/>
      </w:trPr>
      <w:tc>
        <w:tcPr>
          <w:tcW w:w="9000" w:type="dxa"/>
          <w:tcBorders>
            <w:top w:val="single" w:sz="4" w:space="0" w:color="FFFFFF" w:themeColor="background1"/>
          </w:tcBorders>
        </w:tcPr>
        <w:p w14:paraId="17FE60CF" w14:textId="77777777" w:rsidR="00F377AF" w:rsidRDefault="00F377AF">
          <w:pPr>
            <w:widowControl w:val="0"/>
            <w:pBdr>
              <w:top w:val="nil"/>
              <w:left w:val="nil"/>
              <w:bottom w:val="nil"/>
              <w:right w:val="nil"/>
              <w:between w:val="nil"/>
            </w:pBdr>
            <w:spacing w:after="0"/>
            <w:rPr>
              <w:color w:val="000000"/>
            </w:rPr>
          </w:pPr>
        </w:p>
        <w:tbl>
          <w:tblPr>
            <w:tblStyle w:val="a0"/>
            <w:tblW w:w="8780" w:type="dxa"/>
            <w:tblInd w:w="0" w:type="dxa"/>
            <w:tblLayout w:type="fixed"/>
            <w:tblLook w:val="04A0" w:firstRow="1" w:lastRow="0" w:firstColumn="1" w:lastColumn="0" w:noHBand="0" w:noVBand="1"/>
          </w:tblPr>
          <w:tblGrid>
            <w:gridCol w:w="8780"/>
            <w:gridCol w:w="220"/>
          </w:tblGrid>
          <w:tr w:rsidR="00E52D5B" w:rsidRPr="00E771B5" w14:paraId="0B16F861" w14:textId="77777777" w:rsidTr="00E52D5B">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8560" w:type="dxa"/>
              </w:tcPr>
              <w:p w14:paraId="14D49801" w14:textId="77777777" w:rsidR="00E52D5B" w:rsidRDefault="00E52D5B">
                <w:pPr>
                  <w:widowControl w:val="0"/>
                  <w:pBdr>
                    <w:top w:val="nil"/>
                    <w:left w:val="nil"/>
                    <w:bottom w:val="nil"/>
                    <w:right w:val="nil"/>
                    <w:between w:val="nil"/>
                  </w:pBdr>
                  <w:spacing w:line="276" w:lineRule="auto"/>
                  <w:rPr>
                    <w:color w:val="000000"/>
                  </w:rPr>
                </w:pPr>
              </w:p>
              <w:tbl>
                <w:tblPr>
                  <w:tblStyle w:val="a1"/>
                  <w:tblW w:w="11827" w:type="dxa"/>
                  <w:tblInd w:w="0" w:type="dxa"/>
                  <w:tblLayout w:type="fixed"/>
                  <w:tblLook w:val="0400" w:firstRow="0" w:lastRow="0" w:firstColumn="0" w:lastColumn="0" w:noHBand="0" w:noVBand="1"/>
                </w:tblPr>
                <w:tblGrid>
                  <w:gridCol w:w="4004"/>
                  <w:gridCol w:w="710"/>
                  <w:gridCol w:w="7113"/>
                </w:tblGrid>
                <w:tr w:rsidR="00E52D5B" w:rsidRPr="00E771B5" w14:paraId="1471AD0C" w14:textId="77777777" w:rsidTr="006059C6">
                  <w:trPr>
                    <w:trHeight w:val="738"/>
                  </w:trPr>
                  <w:tc>
                    <w:tcPr>
                      <w:tcW w:w="1693" w:type="pct"/>
                    </w:tcPr>
                    <w:p w14:paraId="3AD817AF" w14:textId="77777777" w:rsidR="00E52D5B" w:rsidRPr="00E52D5B" w:rsidRDefault="00E52D5B" w:rsidP="00E52D5B">
                      <w:pPr>
                        <w:rPr>
                          <w:sz w:val="18"/>
                          <w:szCs w:val="18"/>
                          <w:lang w:val="en-US"/>
                        </w:rPr>
                      </w:pPr>
                      <w:r w:rsidRPr="00E52D5B">
                        <w:rPr>
                          <w:sz w:val="18"/>
                          <w:szCs w:val="18"/>
                          <w:lang w:val="en-US"/>
                        </w:rPr>
                        <w:t xml:space="preserve">Karolina </w:t>
                      </w:r>
                      <w:proofErr w:type="spellStart"/>
                      <w:r w:rsidRPr="00E52D5B">
                        <w:rPr>
                          <w:sz w:val="18"/>
                          <w:szCs w:val="18"/>
                          <w:lang w:val="en-US"/>
                        </w:rPr>
                        <w:t>Samczyńska-Fiślak</w:t>
                      </w:r>
                      <w:proofErr w:type="spellEnd"/>
                    </w:p>
                    <w:p w14:paraId="0F116CB1" w14:textId="77777777" w:rsidR="00E52D5B" w:rsidRPr="00E52D5B" w:rsidRDefault="00E52D5B" w:rsidP="00E52D5B">
                      <w:pPr>
                        <w:rPr>
                          <w:sz w:val="18"/>
                          <w:szCs w:val="18"/>
                          <w:lang w:val="en-US"/>
                        </w:rPr>
                      </w:pPr>
                      <w:r w:rsidRPr="00E52D5B">
                        <w:rPr>
                          <w:sz w:val="18"/>
                          <w:szCs w:val="18"/>
                          <w:lang w:val="en-US"/>
                        </w:rPr>
                        <w:t xml:space="preserve">Cushman &amp; Wakefield </w:t>
                      </w:r>
                    </w:p>
                    <w:p w14:paraId="2A838D28" w14:textId="77777777" w:rsidR="00E52D5B" w:rsidRPr="00E52D5B" w:rsidRDefault="00E52D5B" w:rsidP="00E52D5B">
                      <w:pPr>
                        <w:rPr>
                          <w:sz w:val="18"/>
                          <w:szCs w:val="18"/>
                          <w:lang w:val="en-US"/>
                        </w:rPr>
                      </w:pPr>
                      <w:r w:rsidRPr="00E52D5B">
                        <w:rPr>
                          <w:sz w:val="18"/>
                          <w:szCs w:val="18"/>
                          <w:lang w:val="en-US"/>
                        </w:rPr>
                        <w:t>Tel: + 48 22 820 20 20; 691 060 202</w:t>
                      </w:r>
                    </w:p>
                    <w:p w14:paraId="13CAFC9E" w14:textId="216F5905" w:rsidR="00E52D5B" w:rsidRPr="00E52D5B" w:rsidRDefault="00E52D5B" w:rsidP="00E52D5B">
                      <w:pPr>
                        <w:rPr>
                          <w:sz w:val="18"/>
                          <w:szCs w:val="18"/>
                          <w:lang w:val="en-US"/>
                        </w:rPr>
                      </w:pPr>
                      <w:r w:rsidRPr="00E52D5B">
                        <w:rPr>
                          <w:sz w:val="18"/>
                          <w:szCs w:val="18"/>
                          <w:lang w:val="en-US"/>
                        </w:rPr>
                        <w:t xml:space="preserve">e-mail: </w:t>
                      </w:r>
                      <w:hyperlink r:id="rId1" w:history="1">
                        <w:r w:rsidRPr="00622EF7">
                          <w:rPr>
                            <w:rStyle w:val="Hyperlink"/>
                            <w:sz w:val="18"/>
                            <w:szCs w:val="18"/>
                            <w:lang w:val="en-US"/>
                          </w:rPr>
                          <w:t>karolina.samczynska@cushwake.com</w:t>
                        </w:r>
                      </w:hyperlink>
                      <w:r w:rsidRPr="00E52D5B">
                        <w:rPr>
                          <w:color w:val="008B98"/>
                          <w:sz w:val="18"/>
                          <w:szCs w:val="18"/>
                          <w:lang w:val="en-US"/>
                        </w:rPr>
                        <w:t xml:space="preserve"> </w:t>
                      </w:r>
                    </w:p>
                  </w:tc>
                  <w:tc>
                    <w:tcPr>
                      <w:tcW w:w="300" w:type="pct"/>
                    </w:tcPr>
                    <w:p w14:paraId="27A13C1F" w14:textId="77777777" w:rsidR="00E52D5B" w:rsidRPr="00E52D5B" w:rsidRDefault="00E52D5B" w:rsidP="00E52D5B">
                      <w:pPr>
                        <w:rPr>
                          <w:sz w:val="18"/>
                          <w:szCs w:val="18"/>
                          <w:lang w:val="en-US"/>
                        </w:rPr>
                      </w:pPr>
                    </w:p>
                  </w:tc>
                  <w:tc>
                    <w:tcPr>
                      <w:tcW w:w="3007" w:type="pct"/>
                    </w:tcPr>
                    <w:p w14:paraId="55F5332E" w14:textId="0C986567" w:rsidR="00E52D5B" w:rsidRPr="00AE5277" w:rsidRDefault="00E52D5B" w:rsidP="00E52D5B">
                      <w:pPr>
                        <w:rPr>
                          <w:sz w:val="18"/>
                          <w:szCs w:val="18"/>
                          <w:lang w:val="pl-PL"/>
                        </w:rPr>
                      </w:pPr>
                      <w:r w:rsidRPr="00AE5277">
                        <w:rPr>
                          <w:sz w:val="18"/>
                          <w:szCs w:val="18"/>
                          <w:lang w:val="pl-PL"/>
                        </w:rPr>
                        <w:t xml:space="preserve">Magdalena Znyk-Ossowska </w:t>
                      </w:r>
                    </w:p>
                    <w:p w14:paraId="5899E735" w14:textId="1D5A8333" w:rsidR="00E52D5B" w:rsidRPr="00AE5277" w:rsidRDefault="00E52D5B" w:rsidP="00E52D5B">
                      <w:pPr>
                        <w:rPr>
                          <w:sz w:val="18"/>
                          <w:szCs w:val="18"/>
                          <w:lang w:val="pl-PL"/>
                        </w:rPr>
                      </w:pPr>
                      <w:proofErr w:type="spellStart"/>
                      <w:r w:rsidRPr="00AE5277">
                        <w:rPr>
                          <w:sz w:val="18"/>
                          <w:szCs w:val="18"/>
                          <w:lang w:val="pl-PL"/>
                        </w:rPr>
                        <w:t>Linkleaders</w:t>
                      </w:r>
                      <w:proofErr w:type="spellEnd"/>
                    </w:p>
                    <w:p w14:paraId="2347C036" w14:textId="3BE395D1" w:rsidR="00E52D5B" w:rsidRPr="00AE5277" w:rsidRDefault="00E52D5B" w:rsidP="00E52D5B">
                      <w:pPr>
                        <w:rPr>
                          <w:sz w:val="18"/>
                          <w:szCs w:val="18"/>
                          <w:lang w:val="pl-PL"/>
                        </w:rPr>
                      </w:pPr>
                      <w:r w:rsidRPr="00AE5277">
                        <w:rPr>
                          <w:sz w:val="18"/>
                          <w:szCs w:val="18"/>
                          <w:lang w:val="pl-PL"/>
                        </w:rPr>
                        <w:t>Tel: + 48 502 556 846</w:t>
                      </w:r>
                    </w:p>
                    <w:p w14:paraId="6D49FF01" w14:textId="655D00BD" w:rsidR="00E52D5B" w:rsidRPr="00E52D5B" w:rsidRDefault="00E52D5B" w:rsidP="00E52D5B">
                      <w:pPr>
                        <w:rPr>
                          <w:sz w:val="18"/>
                          <w:szCs w:val="18"/>
                          <w:lang w:val="en-US"/>
                        </w:rPr>
                      </w:pPr>
                      <w:r w:rsidRPr="00E52D5B">
                        <w:rPr>
                          <w:sz w:val="18"/>
                          <w:szCs w:val="18"/>
                          <w:lang w:val="en-US"/>
                        </w:rPr>
                        <w:t xml:space="preserve">e-mail: </w:t>
                      </w:r>
                      <w:hyperlink r:id="rId2" w:history="1">
                        <w:r w:rsidRPr="00E52D5B">
                          <w:rPr>
                            <w:rStyle w:val="Hyperlink"/>
                            <w:rFonts w:eastAsia="Calibri"/>
                            <w:b/>
                            <w:bCs/>
                            <w:sz w:val="18"/>
                            <w:szCs w:val="18"/>
                            <w:lang w:val="en-US"/>
                          </w:rPr>
                          <w:t>magdalena.ossowska@linkleaders.pl</w:t>
                        </w:r>
                      </w:hyperlink>
                    </w:p>
                  </w:tc>
                </w:tr>
              </w:tbl>
              <w:p w14:paraId="680868DE" w14:textId="77777777" w:rsidR="00E52D5B" w:rsidRPr="006059C6" w:rsidRDefault="00E52D5B">
                <w:pPr>
                  <w:pBdr>
                    <w:top w:val="nil"/>
                    <w:left w:val="nil"/>
                    <w:bottom w:val="nil"/>
                    <w:right w:val="nil"/>
                    <w:between w:val="nil"/>
                  </w:pBdr>
                  <w:spacing w:line="276" w:lineRule="auto"/>
                  <w:rPr>
                    <w:rFonts w:ascii="Calibri" w:eastAsia="Calibri" w:hAnsi="Calibri" w:cs="Calibri"/>
                    <w:color w:val="000000"/>
                    <w:sz w:val="18"/>
                    <w:szCs w:val="18"/>
                    <w:lang w:val="en-US"/>
                  </w:rPr>
                </w:pPr>
              </w:p>
            </w:tc>
            <w:tc>
              <w:tcPr>
                <w:tcW w:w="220" w:type="dxa"/>
              </w:tcPr>
              <w:p w14:paraId="527ECF80" w14:textId="77777777" w:rsidR="00E52D5B" w:rsidRPr="006059C6" w:rsidRDefault="00E52D5B">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lang w:val="en-US"/>
                  </w:rPr>
                </w:pPr>
              </w:p>
              <w:p w14:paraId="65EB332B" w14:textId="77777777" w:rsidR="00E52D5B" w:rsidRPr="006059C6" w:rsidRDefault="00E52D5B">
                <w:pPr>
                  <w:pBdr>
                    <w:top w:val="nil"/>
                    <w:left w:val="nil"/>
                    <w:bottom w:val="nil"/>
                    <w:right w:val="nil"/>
                    <w:between w:val="nil"/>
                  </w:pBd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lang w:val="en-US"/>
                  </w:rPr>
                </w:pPr>
              </w:p>
            </w:tc>
          </w:tr>
        </w:tbl>
        <w:p w14:paraId="0B43491B" w14:textId="77777777" w:rsidR="00F377AF" w:rsidRPr="006059C6" w:rsidRDefault="00F377AF">
          <w:pPr>
            <w:pBdr>
              <w:top w:val="nil"/>
              <w:left w:val="nil"/>
              <w:bottom w:val="nil"/>
              <w:right w:val="nil"/>
              <w:between w:val="nil"/>
            </w:pBdr>
            <w:spacing w:after="0"/>
            <w:rPr>
              <w:rFonts w:ascii="Calibri" w:eastAsia="Calibri" w:hAnsi="Calibri" w:cs="Calibri"/>
              <w:color w:val="000000"/>
              <w:sz w:val="18"/>
              <w:szCs w:val="18"/>
              <w:lang w:val="en-US"/>
            </w:rPr>
          </w:pPr>
        </w:p>
      </w:tc>
    </w:tr>
  </w:tbl>
  <w:p w14:paraId="66240E81" w14:textId="77777777" w:rsidR="00F377AF" w:rsidRPr="006059C6" w:rsidRDefault="00F377AF">
    <w:pPr>
      <w:pBdr>
        <w:top w:val="nil"/>
        <w:left w:val="nil"/>
        <w:bottom w:val="nil"/>
        <w:right w:val="nil"/>
        <w:between w:val="nil"/>
      </w:pBdr>
      <w:tabs>
        <w:tab w:val="center" w:pos="4536"/>
        <w:tab w:val="right" w:pos="9072"/>
      </w:tabs>
      <w:spacing w:after="0" w:line="240" w:lineRule="auto"/>
      <w:rPr>
        <w:color w:val="000000"/>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DA62D" w14:textId="77777777" w:rsidR="00F377AF" w:rsidRDefault="00F377AF">
    <w:pPr>
      <w:widowControl w:val="0"/>
      <w:pBdr>
        <w:top w:val="nil"/>
        <w:left w:val="nil"/>
        <w:bottom w:val="nil"/>
        <w:right w:val="nil"/>
        <w:between w:val="nil"/>
      </w:pBdr>
      <w:spacing w:after="0"/>
      <w:rPr>
        <w:color w:val="000000"/>
      </w:rPr>
    </w:pPr>
  </w:p>
  <w:tbl>
    <w:tblPr>
      <w:tblStyle w:val="a2"/>
      <w:tblW w:w="9000" w:type="dxa"/>
      <w:tblInd w:w="0" w:type="dxa"/>
      <w:tblLayout w:type="fixed"/>
      <w:tblLook w:val="0400" w:firstRow="0" w:lastRow="0" w:firstColumn="0" w:lastColumn="0" w:noHBand="0" w:noVBand="1"/>
    </w:tblPr>
    <w:tblGrid>
      <w:gridCol w:w="5670"/>
      <w:gridCol w:w="3330"/>
    </w:tblGrid>
    <w:tr w:rsidR="00F377AF" w14:paraId="1322F75A" w14:textId="77777777">
      <w:trPr>
        <w:trHeight w:val="630"/>
      </w:trPr>
      <w:tc>
        <w:tcPr>
          <w:tcW w:w="5670" w:type="dxa"/>
          <w:vAlign w:val="bottom"/>
        </w:tcPr>
        <w:p w14:paraId="459CF4B9" w14:textId="77777777" w:rsidR="00F377AF" w:rsidRDefault="0092030B">
          <w:pPr>
            <w:pStyle w:val="Heading2"/>
            <w:rPr>
              <w:rFonts w:ascii="Arial" w:eastAsia="Arial" w:hAnsi="Arial" w:cs="Arial"/>
              <w:color w:val="696B6B"/>
            </w:rPr>
          </w:pPr>
          <w:r>
            <w:rPr>
              <w:rFonts w:ascii="Arial" w:eastAsia="Arial" w:hAnsi="Arial" w:cs="Arial"/>
              <w:color w:val="696B6B"/>
            </w:rPr>
            <w:t xml:space="preserve">Media </w:t>
          </w:r>
          <w:proofErr w:type="spellStart"/>
          <w:r>
            <w:rPr>
              <w:rFonts w:ascii="Arial" w:eastAsia="Arial" w:hAnsi="Arial" w:cs="Arial"/>
              <w:color w:val="696B6B"/>
            </w:rPr>
            <w:t>Contact</w:t>
          </w:r>
          <w:proofErr w:type="spellEnd"/>
          <w:r>
            <w:rPr>
              <w:rFonts w:ascii="Arial" w:eastAsia="Arial" w:hAnsi="Arial" w:cs="Arial"/>
              <w:color w:val="696B6B"/>
            </w:rPr>
            <w:t>:</w:t>
          </w:r>
        </w:p>
      </w:tc>
      <w:tc>
        <w:tcPr>
          <w:tcW w:w="3330" w:type="dxa"/>
          <w:vAlign w:val="bottom"/>
        </w:tcPr>
        <w:p w14:paraId="31653805" w14:textId="77777777" w:rsidR="00F377AF" w:rsidRDefault="00F377AF">
          <w:pPr>
            <w:spacing w:after="100" w:line="240" w:lineRule="auto"/>
            <w:rPr>
              <w:b/>
              <w:bCs/>
              <w:color w:val="696B6B"/>
              <w:sz w:val="18"/>
              <w:szCs w:val="18"/>
            </w:rPr>
          </w:pPr>
        </w:p>
      </w:tc>
    </w:tr>
    <w:tr w:rsidR="00F377AF" w:rsidRPr="00E771B5" w14:paraId="65062D63" w14:textId="77777777">
      <w:trPr>
        <w:trHeight w:val="1260"/>
      </w:trPr>
      <w:tc>
        <w:tcPr>
          <w:tcW w:w="5670" w:type="dxa"/>
          <w:vAlign w:val="bottom"/>
        </w:tcPr>
        <w:p w14:paraId="3F7801E0" w14:textId="77777777" w:rsidR="00F377AF" w:rsidRPr="006059C6" w:rsidRDefault="0092030B">
          <w:pPr>
            <w:keepNext/>
            <w:keepLines/>
            <w:pBdr>
              <w:top w:val="nil"/>
              <w:left w:val="nil"/>
              <w:bottom w:val="nil"/>
              <w:right w:val="nil"/>
              <w:between w:val="nil"/>
            </w:pBdr>
            <w:spacing w:after="0"/>
            <w:rPr>
              <w:b/>
              <w:bCs/>
              <w:color w:val="696B6B"/>
              <w:sz w:val="18"/>
              <w:szCs w:val="18"/>
              <w:lang w:val="en-US"/>
            </w:rPr>
          </w:pPr>
          <w:r w:rsidRPr="006059C6">
            <w:rPr>
              <w:b/>
              <w:bCs/>
              <w:color w:val="696B6B"/>
              <w:sz w:val="18"/>
              <w:szCs w:val="18"/>
              <w:lang w:val="en-US"/>
            </w:rPr>
            <w:t>Name</w:t>
          </w:r>
        </w:p>
        <w:p w14:paraId="79ECC178" w14:textId="77777777" w:rsidR="00F377AF" w:rsidRPr="006059C6" w:rsidRDefault="0092030B">
          <w:pPr>
            <w:pBdr>
              <w:top w:val="nil"/>
              <w:left w:val="nil"/>
              <w:bottom w:val="nil"/>
              <w:right w:val="nil"/>
              <w:between w:val="nil"/>
            </w:pBdr>
            <w:spacing w:after="0"/>
            <w:rPr>
              <w:color w:val="696B6B"/>
              <w:sz w:val="18"/>
              <w:szCs w:val="18"/>
              <w:lang w:val="en-US"/>
            </w:rPr>
          </w:pPr>
          <w:r w:rsidRPr="006059C6">
            <w:rPr>
              <w:color w:val="696B6B"/>
              <w:sz w:val="18"/>
              <w:szCs w:val="18"/>
              <w:lang w:val="en-US"/>
            </w:rPr>
            <w:t>Title</w:t>
          </w:r>
        </w:p>
        <w:p w14:paraId="0AC7034C" w14:textId="77777777" w:rsidR="00F377AF" w:rsidRPr="006059C6" w:rsidRDefault="0092030B">
          <w:pPr>
            <w:pBdr>
              <w:top w:val="nil"/>
              <w:left w:val="nil"/>
              <w:bottom w:val="nil"/>
              <w:right w:val="nil"/>
              <w:between w:val="nil"/>
            </w:pBdr>
            <w:spacing w:after="0"/>
            <w:rPr>
              <w:color w:val="696B6B"/>
              <w:sz w:val="18"/>
              <w:szCs w:val="18"/>
              <w:lang w:val="en-US"/>
            </w:rPr>
          </w:pPr>
          <w:r w:rsidRPr="006059C6">
            <w:rPr>
              <w:color w:val="696B6B"/>
              <w:sz w:val="18"/>
              <w:szCs w:val="18"/>
              <w:lang w:val="en-US"/>
            </w:rPr>
            <w:t>+1 000 000 0000</w:t>
          </w:r>
        </w:p>
        <w:p w14:paraId="0FD620E7" w14:textId="77777777" w:rsidR="00F377AF" w:rsidRPr="006059C6" w:rsidRDefault="00F377AF">
          <w:pPr>
            <w:pBdr>
              <w:top w:val="nil"/>
              <w:left w:val="nil"/>
              <w:bottom w:val="nil"/>
              <w:right w:val="nil"/>
              <w:between w:val="nil"/>
            </w:pBdr>
            <w:spacing w:after="0"/>
            <w:rPr>
              <w:color w:val="696B6B"/>
              <w:sz w:val="18"/>
              <w:szCs w:val="18"/>
              <w:lang w:val="en-US"/>
            </w:rPr>
          </w:pPr>
          <w:hyperlink r:id="rId1">
            <w:r w:rsidRPr="006059C6">
              <w:rPr>
                <w:color w:val="4472C4"/>
                <w:sz w:val="18"/>
                <w:szCs w:val="18"/>
                <w:u w:val="single"/>
                <w:lang w:val="en-US"/>
              </w:rPr>
              <w:t>first.last@cushwake.com</w:t>
            </w:r>
          </w:hyperlink>
          <w:r w:rsidRPr="006059C6">
            <w:rPr>
              <w:color w:val="696B6B"/>
              <w:sz w:val="18"/>
              <w:szCs w:val="18"/>
              <w:lang w:val="en-US"/>
            </w:rPr>
            <w:t xml:space="preserve"> </w:t>
          </w:r>
        </w:p>
      </w:tc>
      <w:tc>
        <w:tcPr>
          <w:tcW w:w="3330" w:type="dxa"/>
          <w:vAlign w:val="bottom"/>
        </w:tcPr>
        <w:p w14:paraId="24B8EA6D" w14:textId="77777777" w:rsidR="00F377AF" w:rsidRPr="006059C6" w:rsidRDefault="00F377AF">
          <w:pPr>
            <w:pBdr>
              <w:top w:val="nil"/>
              <w:left w:val="nil"/>
              <w:bottom w:val="nil"/>
              <w:right w:val="nil"/>
              <w:between w:val="nil"/>
            </w:pBdr>
            <w:spacing w:after="0"/>
            <w:rPr>
              <w:color w:val="696B6B"/>
              <w:sz w:val="18"/>
              <w:szCs w:val="18"/>
              <w:lang w:val="en-US"/>
            </w:rPr>
          </w:pPr>
        </w:p>
      </w:tc>
    </w:tr>
  </w:tbl>
  <w:p w14:paraId="39082E58" w14:textId="77777777" w:rsidR="00F377AF" w:rsidRPr="006059C6" w:rsidRDefault="00F377AF">
    <w:pPr>
      <w:pBdr>
        <w:top w:val="nil"/>
        <w:left w:val="nil"/>
        <w:bottom w:val="nil"/>
        <w:right w:val="nil"/>
        <w:between w:val="nil"/>
      </w:pBdr>
      <w:tabs>
        <w:tab w:val="center" w:pos="4680"/>
        <w:tab w:val="right" w:pos="9360"/>
      </w:tabs>
      <w:spacing w:after="0" w:line="240" w:lineRule="auto"/>
      <w:rPr>
        <w:color w:val="00000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BA0B4B" w14:textId="77777777" w:rsidR="00B52617" w:rsidRDefault="00B52617">
      <w:pPr>
        <w:spacing w:after="0" w:line="240" w:lineRule="auto"/>
      </w:pPr>
      <w:r>
        <w:separator/>
      </w:r>
    </w:p>
  </w:footnote>
  <w:footnote w:type="continuationSeparator" w:id="0">
    <w:p w14:paraId="06B375FB" w14:textId="77777777" w:rsidR="00B52617" w:rsidRDefault="00B526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35162" w14:textId="77777777" w:rsidR="00F377AF" w:rsidRDefault="0092030B">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18594D36" wp14:editId="34F3DCD2">
          <wp:simplePos x="0" y="0"/>
          <wp:positionH relativeFrom="column">
            <wp:posOffset>43134</wp:posOffset>
          </wp:positionH>
          <wp:positionV relativeFrom="paragraph">
            <wp:posOffset>-154973</wp:posOffset>
          </wp:positionV>
          <wp:extent cx="1933575" cy="40767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33575" cy="40767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FB2E9" w14:textId="77777777" w:rsidR="00F377AF" w:rsidRDefault="0092030B">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9264" behindDoc="0" locked="0" layoutInCell="1" hidden="0" allowOverlap="1" wp14:anchorId="0A6B33B7" wp14:editId="4DABBBA3">
          <wp:simplePos x="0" y="0"/>
          <wp:positionH relativeFrom="column">
            <wp:posOffset>3813</wp:posOffset>
          </wp:positionH>
          <wp:positionV relativeFrom="paragraph">
            <wp:posOffset>-201292</wp:posOffset>
          </wp:positionV>
          <wp:extent cx="1933575" cy="40767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33575" cy="40767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7AF"/>
    <w:rsid w:val="00084335"/>
    <w:rsid w:val="001072D2"/>
    <w:rsid w:val="00187625"/>
    <w:rsid w:val="00204F14"/>
    <w:rsid w:val="006059C6"/>
    <w:rsid w:val="008862B5"/>
    <w:rsid w:val="0092030B"/>
    <w:rsid w:val="00AE5277"/>
    <w:rsid w:val="00B52617"/>
    <w:rsid w:val="00BF224C"/>
    <w:rsid w:val="00C56CD3"/>
    <w:rsid w:val="00E52D5B"/>
    <w:rsid w:val="00E771B5"/>
    <w:rsid w:val="00F377AF"/>
    <w:rsid w:val="00FB58C4"/>
  </w:rsids>
  <m:mathPr>
    <m:mathFont m:val="Cambria Math"/>
    <m:brkBin m:val="before"/>
    <m:brkBinSub m:val="--"/>
    <m:smallFrac m:val="0"/>
    <m:dispDef/>
    <m:lMargin m:val="0"/>
    <m:rMargin m:val="0"/>
    <m:defJc m:val="centerGroup"/>
    <m:wrapIndent m:val="1440"/>
    <m:intLim m:val="subSup"/>
    <m:naryLim m:val="undOvr"/>
  </m:mathPr>
  <w:themeFontLang w:val="en-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2AE0F"/>
  <w15:docId w15:val="{C48957F1-DA03-3541-A331-DDC923991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l"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Calibri" w:eastAsia="Calibri" w:hAnsi="Calibri" w:cs="Calibri"/>
      <w:color w:val="2F5496"/>
      <w:sz w:val="32"/>
      <w:szCs w:val="32"/>
    </w:rPr>
  </w:style>
  <w:style w:type="paragraph" w:styleId="Heading2">
    <w:name w:val="heading 2"/>
    <w:basedOn w:val="Normal"/>
    <w:next w:val="Normal"/>
    <w:uiPriority w:val="9"/>
    <w:unhideWhenUsed/>
    <w:qFormat/>
    <w:pPr>
      <w:keepNext/>
      <w:keepLines/>
      <w:spacing w:after="100"/>
      <w:outlineLvl w:val="1"/>
    </w:pPr>
    <w:rPr>
      <w:rFonts w:ascii="Calibri" w:eastAsia="Calibri" w:hAnsi="Calibri" w:cs="Calibri"/>
      <w:b/>
      <w:bCs/>
      <w:smallCaps/>
      <w:color w:val="008B98"/>
      <w:sz w:val="18"/>
      <w:szCs w:val="1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6059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59C6"/>
  </w:style>
  <w:style w:type="paragraph" w:styleId="Footer">
    <w:name w:val="footer"/>
    <w:basedOn w:val="Normal"/>
    <w:link w:val="FooterChar"/>
    <w:uiPriority w:val="99"/>
    <w:unhideWhenUsed/>
    <w:rsid w:val="006059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59C6"/>
  </w:style>
  <w:style w:type="character" w:styleId="Hyperlink">
    <w:name w:val="Hyperlink"/>
    <w:basedOn w:val="DefaultParagraphFont"/>
    <w:uiPriority w:val="99"/>
    <w:unhideWhenUsed/>
    <w:rsid w:val="006059C6"/>
    <w:rPr>
      <w:color w:val="0000FF" w:themeColor="hyperlink"/>
      <w:u w:val="single"/>
    </w:rPr>
  </w:style>
  <w:style w:type="character" w:styleId="UnresolvedMention">
    <w:name w:val="Unresolved Mention"/>
    <w:basedOn w:val="DefaultParagraphFont"/>
    <w:uiPriority w:val="99"/>
    <w:semiHidden/>
    <w:unhideWhenUsed/>
    <w:rsid w:val="006059C6"/>
    <w:rPr>
      <w:color w:val="605E5C"/>
      <w:shd w:val="clear" w:color="auto" w:fill="E1DFDD"/>
    </w:rPr>
  </w:style>
  <w:style w:type="paragraph" w:customStyle="1" w:styleId="FirstParagraph">
    <w:name w:val="First Paragraph"/>
    <w:basedOn w:val="BodyText"/>
    <w:next w:val="BodyText"/>
    <w:qFormat/>
    <w:rsid w:val="00AE5277"/>
    <w:pPr>
      <w:spacing w:before="180" w:after="180" w:line="240" w:lineRule="auto"/>
    </w:pPr>
    <w:rPr>
      <w:rFonts w:asciiTheme="minorHAnsi" w:eastAsiaTheme="minorHAnsi" w:hAnsiTheme="minorHAnsi" w:cstheme="minorBidi"/>
      <w:sz w:val="24"/>
      <w:szCs w:val="24"/>
      <w:lang w:val="en-US" w:eastAsia="en-US"/>
    </w:rPr>
  </w:style>
  <w:style w:type="paragraph" w:styleId="BodyText">
    <w:name w:val="Body Text"/>
    <w:basedOn w:val="Normal"/>
    <w:link w:val="BodyTextChar"/>
    <w:uiPriority w:val="99"/>
    <w:semiHidden/>
    <w:unhideWhenUsed/>
    <w:rsid w:val="00AE5277"/>
    <w:pPr>
      <w:spacing w:after="120"/>
    </w:pPr>
  </w:style>
  <w:style w:type="character" w:customStyle="1" w:styleId="BodyTextChar">
    <w:name w:val="Body Text Char"/>
    <w:basedOn w:val="DefaultParagraphFont"/>
    <w:link w:val="BodyText"/>
    <w:uiPriority w:val="99"/>
    <w:semiHidden/>
    <w:rsid w:val="00AE5277"/>
  </w:style>
  <w:style w:type="paragraph" w:styleId="NormalWeb">
    <w:name w:val="Normal (Web)"/>
    <w:basedOn w:val="Normal"/>
    <w:uiPriority w:val="99"/>
    <w:unhideWhenUsed/>
    <w:rsid w:val="00AE5277"/>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styleId="Revision">
    <w:name w:val="Revision"/>
    <w:hidden/>
    <w:uiPriority w:val="99"/>
    <w:semiHidden/>
    <w:rsid w:val="00FB58C4"/>
    <w:pPr>
      <w:spacing w:after="0" w:line="240" w:lineRule="auto"/>
    </w:pPr>
  </w:style>
  <w:style w:type="character" w:styleId="CommentReference">
    <w:name w:val="annotation reference"/>
    <w:basedOn w:val="DefaultParagraphFont"/>
    <w:uiPriority w:val="99"/>
    <w:semiHidden/>
    <w:unhideWhenUsed/>
    <w:rsid w:val="00FB58C4"/>
    <w:rPr>
      <w:sz w:val="16"/>
      <w:szCs w:val="16"/>
    </w:rPr>
  </w:style>
  <w:style w:type="paragraph" w:styleId="CommentText">
    <w:name w:val="annotation text"/>
    <w:basedOn w:val="Normal"/>
    <w:link w:val="CommentTextChar"/>
    <w:uiPriority w:val="99"/>
    <w:unhideWhenUsed/>
    <w:rsid w:val="00FB58C4"/>
    <w:pPr>
      <w:spacing w:line="240" w:lineRule="auto"/>
    </w:pPr>
    <w:rPr>
      <w:sz w:val="20"/>
      <w:szCs w:val="20"/>
    </w:rPr>
  </w:style>
  <w:style w:type="character" w:customStyle="1" w:styleId="CommentTextChar">
    <w:name w:val="Comment Text Char"/>
    <w:basedOn w:val="DefaultParagraphFont"/>
    <w:link w:val="CommentText"/>
    <w:uiPriority w:val="99"/>
    <w:rsid w:val="00FB58C4"/>
    <w:rPr>
      <w:sz w:val="20"/>
      <w:szCs w:val="20"/>
    </w:rPr>
  </w:style>
  <w:style w:type="paragraph" w:styleId="CommentSubject">
    <w:name w:val="annotation subject"/>
    <w:basedOn w:val="CommentText"/>
    <w:next w:val="CommentText"/>
    <w:link w:val="CommentSubjectChar"/>
    <w:uiPriority w:val="99"/>
    <w:semiHidden/>
    <w:unhideWhenUsed/>
    <w:rsid w:val="00FB58C4"/>
    <w:rPr>
      <w:b/>
      <w:bCs/>
    </w:rPr>
  </w:style>
  <w:style w:type="character" w:customStyle="1" w:styleId="CommentSubjectChar">
    <w:name w:val="Comment Subject Char"/>
    <w:basedOn w:val="CommentTextChar"/>
    <w:link w:val="CommentSubject"/>
    <w:uiPriority w:val="99"/>
    <w:semiHidden/>
    <w:rsid w:val="00FB58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ushmanwakefield.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mailto:magdalena.ossowska@linkleaders.pl" TargetMode="External"/><Relationship Id="rId1" Type="http://schemas.openxmlformats.org/officeDocument/2006/relationships/hyperlink" Target="mailto:karolina.samczynska@cushwake.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first.last@cushwak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u/jH56DMit6x6R/nHQmAEwOR6Q==">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930</Words>
  <Characters>5305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magdalena ossowska</cp:lastModifiedBy>
  <cp:revision>4</cp:revision>
  <dcterms:created xsi:type="dcterms:W3CDTF">2026-06-23T09:12:00Z</dcterms:created>
  <dcterms:modified xsi:type="dcterms:W3CDTF">2026-06-23T11:27:00Z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01c4386eb9a1dc9de2fec12738f87015bcc4ef4c8803dccae430c9e60e042de1</vt:lpwstr>
  </property>
  <property fmtid="{D5CDD505-2E9C-101B-9397-08002B2CF9AE}" pid="3" name="ContentTypeId">
    <vt:lpwstr>0x010100C609ED7BA2763A478EDE0130F91B5123</vt:lpwstr>
  </property>
</Properties>
</file>