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62F8" w14:textId="77777777" w:rsidR="00C378DA" w:rsidRPr="00C378DA" w:rsidRDefault="00C378DA" w:rsidP="00C378DA">
      <w:pPr>
        <w:spacing w:after="160" w:line="278" w:lineRule="auto"/>
        <w:rPr>
          <w:rFonts w:ascii="Noto Sans" w:hAnsi="Noto Sans" w:cs="Noto Sans"/>
          <w:b/>
          <w:bCs/>
          <w:sz w:val="24"/>
          <w:szCs w:val="24"/>
        </w:rPr>
      </w:pPr>
      <w:r w:rsidRPr="00C378DA">
        <w:rPr>
          <w:rFonts w:ascii="Noto Sans" w:hAnsi="Noto Sans" w:cs="Noto Sans"/>
          <w:b/>
          <w:bCs/>
          <w:sz w:val="24"/>
          <w:szCs w:val="24"/>
          <w:lang w:val="fr"/>
        </w:rPr>
        <w:t>Le lien caché entre sécurité sanitaire et réduction du gaspillage alimentaire</w:t>
      </w:r>
    </w:p>
    <w:p w14:paraId="4C5EBE14" w14:textId="486B7D79" w:rsidR="00C378DA" w:rsidRPr="00C378DA" w:rsidRDefault="00C378DA" w:rsidP="00C378DA">
      <w:pPr>
        <w:spacing w:after="160" w:line="278" w:lineRule="auto"/>
        <w:rPr>
          <w:rFonts w:ascii="Noto Sans" w:hAnsi="Noto Sans" w:cs="Noto Sans"/>
          <w:i/>
          <w:iCs/>
          <w:sz w:val="22"/>
        </w:rPr>
      </w:pPr>
      <w:r w:rsidRPr="00C378DA">
        <w:rPr>
          <w:rFonts w:ascii="Noto Sans" w:hAnsi="Noto Sans" w:cs="Noto Sans"/>
          <w:i/>
          <w:iCs/>
          <w:sz w:val="22"/>
          <w:lang w:val="fr"/>
        </w:rPr>
        <w:t xml:space="preserve">La sécurité sanitaire des aliments et la réduction du gaspillage vont désormais de pair, alors que les industriels de l'agroalimentaire se tournent vers la traçabilité, l'emballage connecté et les codes 2D augmentés GS1 pour mieux protéger les consommateurs et limiter le gaspillage, explique Jim Orford, Global </w:t>
      </w:r>
      <w:proofErr w:type="spellStart"/>
      <w:r w:rsidRPr="00C378DA">
        <w:rPr>
          <w:rFonts w:ascii="Noto Sans" w:hAnsi="Noto Sans" w:cs="Noto Sans"/>
          <w:i/>
          <w:iCs/>
          <w:sz w:val="22"/>
          <w:lang w:val="fr"/>
        </w:rPr>
        <w:t>Account</w:t>
      </w:r>
      <w:proofErr w:type="spellEnd"/>
      <w:r w:rsidRPr="00C378DA">
        <w:rPr>
          <w:rFonts w:ascii="Noto Sans" w:hAnsi="Noto Sans" w:cs="Noto Sans"/>
          <w:i/>
          <w:iCs/>
          <w:sz w:val="22"/>
          <w:lang w:val="fr"/>
        </w:rPr>
        <w:t xml:space="preserve"> Manager, </w:t>
      </w:r>
      <w:hyperlink r:id="rId6" w:history="1">
        <w:r w:rsidRPr="00C378DA">
          <w:rPr>
            <w:rStyle w:val="Hyperlink"/>
            <w:rFonts w:ascii="Noto Sans" w:hAnsi="Noto Sans" w:cs="Noto Sans"/>
            <w:i/>
            <w:iCs/>
            <w:sz w:val="22"/>
            <w:lang w:val="fr"/>
          </w:rPr>
          <w:t>Domino Printing Sciences</w:t>
        </w:r>
      </w:hyperlink>
      <w:r w:rsidRPr="00C378DA">
        <w:rPr>
          <w:rFonts w:ascii="Noto Sans" w:hAnsi="Noto Sans" w:cs="Noto Sans"/>
          <w:i/>
          <w:iCs/>
          <w:sz w:val="22"/>
          <w:lang w:val="fr"/>
        </w:rPr>
        <w:t>.</w:t>
      </w:r>
    </w:p>
    <w:p w14:paraId="69AEEB04" w14:textId="77777777"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Les industriels de l'agroalimentaire ont toujours accordé une grande importance à la sécurité sanitaire des aliments, s'appuyant sur des systèmes, des audits et des contrôles éprouvés pour protéger les consommateurs. Même avec ces mesures en place, les rappels de produits restent souvent inévitables pour protéger la santé publique face à un incident de sécurité sanitaire des aliments. Les rappels alimentaires entraînent inévitablement le problème collatéral du gaspillage évitable.</w:t>
      </w:r>
    </w:p>
    <w:p w14:paraId="767AEBEA" w14:textId="77777777"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 xml:space="preserve">Ce gaspillage résulte en grande partie de l'incertitude. Sans une traçabilité précise des produits au niveau du lot, les équipes chargées de la sécurité sanitaire des aliments sont contraintes de prendre des mesures préventives. Les produits fabriqués lors du même quart de travail, sur la même ligne ou le même jour peuvent être retirés ensemble, même lorsque seul un sous-ensemble limité est concerné. Si cette précaution se justifie du point de vue de la santé publique, elle est très inefficace au regard du gaspillage global de produits qu'elle engendre. </w:t>
      </w:r>
    </w:p>
    <w:p w14:paraId="64B96CB0" w14:textId="77777777" w:rsidR="00C378DA" w:rsidRPr="00C378DA" w:rsidRDefault="00C378DA" w:rsidP="00C378DA">
      <w:pPr>
        <w:spacing w:after="160" w:line="278" w:lineRule="auto"/>
        <w:rPr>
          <w:rFonts w:ascii="Noto Sans" w:hAnsi="Noto Sans" w:cs="Noto Sans"/>
          <w:b/>
          <w:bCs/>
          <w:sz w:val="22"/>
        </w:rPr>
      </w:pPr>
      <w:r w:rsidRPr="00C378DA">
        <w:rPr>
          <w:rFonts w:ascii="Noto Sans" w:hAnsi="Noto Sans" w:cs="Noto Sans"/>
          <w:b/>
          <w:bCs/>
          <w:sz w:val="22"/>
          <w:lang w:val="fr"/>
        </w:rPr>
        <w:t>Évolution de la conformité : de la documentation à la preuve tangible</w:t>
      </w:r>
    </w:p>
    <w:p w14:paraId="388B7F5E" w14:textId="5146846D"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 xml:space="preserve">À mesure que les objectifs de réduction du gaspillage alimentaire s'inscrivent dans les cadres réglementaires et politiques, ce déséquilibre ne peut plus être ignoré. Les nouvelles réglementations en matière de sécurité sanitaire des aliments, comme le </w:t>
      </w:r>
      <w:hyperlink r:id="rId7" w:history="1">
        <w:r w:rsidRPr="00C378DA">
          <w:rPr>
            <w:rStyle w:val="Hyperlink"/>
            <w:rFonts w:ascii="Noto Sans" w:hAnsi="Noto Sans" w:cs="Noto Sans"/>
            <w:sz w:val="22"/>
            <w:lang w:val="fr"/>
          </w:rPr>
          <w:t xml:space="preserve">Food </w:t>
        </w:r>
        <w:proofErr w:type="spellStart"/>
        <w:r w:rsidRPr="00C378DA">
          <w:rPr>
            <w:rStyle w:val="Hyperlink"/>
            <w:rFonts w:ascii="Noto Sans" w:hAnsi="Noto Sans" w:cs="Noto Sans"/>
            <w:sz w:val="22"/>
            <w:lang w:val="fr"/>
          </w:rPr>
          <w:t>Safety</w:t>
        </w:r>
        <w:proofErr w:type="spellEnd"/>
        <w:r w:rsidRPr="00C378DA">
          <w:rPr>
            <w:rStyle w:val="Hyperlink"/>
            <w:rFonts w:ascii="Noto Sans" w:hAnsi="Noto Sans" w:cs="Noto Sans"/>
            <w:sz w:val="22"/>
            <w:lang w:val="fr"/>
          </w:rPr>
          <w:t xml:space="preserve"> </w:t>
        </w:r>
        <w:proofErr w:type="spellStart"/>
        <w:r w:rsidRPr="00C378DA">
          <w:rPr>
            <w:rStyle w:val="Hyperlink"/>
            <w:rFonts w:ascii="Noto Sans" w:hAnsi="Noto Sans" w:cs="Noto Sans"/>
            <w:sz w:val="22"/>
            <w:lang w:val="fr"/>
          </w:rPr>
          <w:t>Modernization</w:t>
        </w:r>
        <w:proofErr w:type="spellEnd"/>
        <w:r w:rsidRPr="00C378DA">
          <w:rPr>
            <w:rStyle w:val="Hyperlink"/>
            <w:rFonts w:ascii="Noto Sans" w:hAnsi="Noto Sans" w:cs="Noto Sans"/>
            <w:sz w:val="22"/>
            <w:lang w:val="fr"/>
          </w:rPr>
          <w:t xml:space="preserve"> </w:t>
        </w:r>
        <w:proofErr w:type="spellStart"/>
        <w:r w:rsidRPr="00C378DA">
          <w:rPr>
            <w:rStyle w:val="Hyperlink"/>
            <w:rFonts w:ascii="Noto Sans" w:hAnsi="Noto Sans" w:cs="Noto Sans"/>
            <w:sz w:val="22"/>
            <w:lang w:val="fr"/>
          </w:rPr>
          <w:t>Act</w:t>
        </w:r>
        <w:proofErr w:type="spellEnd"/>
        <w:r w:rsidRPr="00C378DA">
          <w:rPr>
            <w:rStyle w:val="Hyperlink"/>
            <w:rFonts w:ascii="Noto Sans" w:hAnsi="Noto Sans" w:cs="Noto Sans"/>
            <w:sz w:val="22"/>
            <w:lang w:val="fr"/>
          </w:rPr>
          <w:t xml:space="preserve"> (FSMA) aux États-Unis</w:t>
        </w:r>
      </w:hyperlink>
      <w:r w:rsidRPr="00C378DA">
        <w:rPr>
          <w:rFonts w:ascii="Noto Sans" w:hAnsi="Noto Sans" w:cs="Noto Sans"/>
          <w:sz w:val="22"/>
          <w:lang w:val="fr"/>
        </w:rPr>
        <w:t>, placent la réactivité et le niveau de détail au cœur des priorités. Les autorités veulent savoir non seulement que les aliments peuvent être tracés, mais aussi à quelle vitesse les produits concernés peuvent être identifiés et retirés de la chaîne logistique.</w:t>
      </w:r>
    </w:p>
    <w:p w14:paraId="5AA21469" w14:textId="77777777"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 xml:space="preserve">Face à l'évolution des exigences réglementaires, les systèmes de traçabilité traditionnels ne suffisent plus. Les dossiers papier attestent de la conformité a posteriori. Si des contrôles sont en place, leur examen manuel reste fastidieux et leur consolidation difficile dans les chaînes logistiques complexes </w:t>
      </w:r>
      <w:proofErr w:type="spellStart"/>
      <w:r w:rsidRPr="00C378DA">
        <w:rPr>
          <w:rFonts w:ascii="Noto Sans" w:hAnsi="Noto Sans" w:cs="Noto Sans"/>
          <w:sz w:val="22"/>
          <w:lang w:val="fr"/>
        </w:rPr>
        <w:t>multi-partenaires</w:t>
      </w:r>
      <w:proofErr w:type="spellEnd"/>
      <w:r w:rsidRPr="00C378DA">
        <w:rPr>
          <w:rFonts w:ascii="Noto Sans" w:hAnsi="Noto Sans" w:cs="Noto Sans"/>
          <w:sz w:val="22"/>
          <w:lang w:val="fr"/>
        </w:rPr>
        <w:t>.</w:t>
      </w:r>
    </w:p>
    <w:p w14:paraId="16F5E321" w14:textId="77777777" w:rsidR="00C378DA" w:rsidRPr="00C378DA" w:rsidRDefault="00C378DA" w:rsidP="00C378DA">
      <w:pPr>
        <w:spacing w:after="160" w:line="278" w:lineRule="auto"/>
        <w:rPr>
          <w:rFonts w:ascii="Noto Sans" w:hAnsi="Noto Sans" w:cs="Noto Sans"/>
          <w:b/>
          <w:bCs/>
          <w:sz w:val="22"/>
        </w:rPr>
      </w:pPr>
      <w:r w:rsidRPr="00C378DA">
        <w:rPr>
          <w:rFonts w:ascii="Noto Sans" w:hAnsi="Noto Sans" w:cs="Noto Sans"/>
          <w:b/>
          <w:bCs/>
          <w:sz w:val="22"/>
          <w:lang w:val="fr"/>
        </w:rPr>
        <w:t>L'importance des informations sur l'emballage</w:t>
      </w:r>
    </w:p>
    <w:p w14:paraId="72171A70" w14:textId="77777777"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lastRenderedPageBreak/>
        <w:t xml:space="preserve">Une traçabilité fiable repose sur des informations précises et facilement accessibles concernant les produits, la production et la durée de conservation. Si, par le passé, seule une infime partie de ces informations restait accessible après la sortie des produits d'usine, l'introduction des codes 2D augmentés GS1 sur les emballages alimentaires transforme aujourd'hui la visibilité le long de la chaîne logistique. </w:t>
      </w:r>
    </w:p>
    <w:p w14:paraId="7B5E3664" w14:textId="77777777"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 xml:space="preserve">L'emballage alimentaire connecté permet aux fabricants de rattacher chaque conditionnement à des données de traçabilité structurées et standardisées, disponibles à chaque étape du cycle de vie produit. </w:t>
      </w:r>
    </w:p>
    <w:p w14:paraId="68599655" w14:textId="77777777"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Lorsque des problèmes de sécurité sont signalés, des données plus claires au niveau de l'emballage facilitent un processus de rappel alimentaire plus rapide et plus efficace. Les fabricants sont en mesure d'identifier rapidement quels produits sont concernés. Seuls les articles appartenant aux lots compromis sont retirés de la vente, préservant ainsi les aliments sains d'un gaspillage inutile. Pour les distributeurs, cette traçabilité améliorée réduit le temps et les coûts liés au retrait de denrées saines de la vente.</w:t>
      </w:r>
    </w:p>
    <w:p w14:paraId="4FE92C65" w14:textId="77777777" w:rsidR="00C378DA" w:rsidRPr="00C378DA" w:rsidRDefault="00C378DA" w:rsidP="00C378DA">
      <w:pPr>
        <w:spacing w:after="160" w:line="278" w:lineRule="auto"/>
        <w:rPr>
          <w:rFonts w:ascii="Noto Sans" w:hAnsi="Noto Sans" w:cs="Noto Sans"/>
          <w:b/>
          <w:bCs/>
          <w:sz w:val="22"/>
        </w:rPr>
      </w:pPr>
      <w:r w:rsidRPr="00C378DA">
        <w:rPr>
          <w:rFonts w:ascii="Noto Sans" w:hAnsi="Noto Sans" w:cs="Noto Sans"/>
          <w:b/>
          <w:bCs/>
          <w:sz w:val="22"/>
          <w:lang w:val="fr"/>
        </w:rPr>
        <w:t xml:space="preserve">Fraîcheur, sécurité, </w:t>
      </w:r>
      <w:proofErr w:type="gramStart"/>
      <w:r w:rsidRPr="00C378DA">
        <w:rPr>
          <w:rFonts w:ascii="Noto Sans" w:hAnsi="Noto Sans" w:cs="Noto Sans"/>
          <w:b/>
          <w:bCs/>
          <w:sz w:val="22"/>
          <w:lang w:val="fr"/>
        </w:rPr>
        <w:t>timing</w:t>
      </w:r>
      <w:proofErr w:type="gramEnd"/>
    </w:p>
    <w:p w14:paraId="3F58FFA6" w14:textId="77777777"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Au-delà de la sécurité alimentaire, l'emballage connecté équipé de codes 2D recèle un potentiel de transformation pour l'ensemble de la chaîne logistique, bien en amont de tout incident. Un séjour prolongé des aliments dans la chaîne de distribution ou en rayon peut engendrer des risques sanitaires et contribuer au gaspillage alimentaire.</w:t>
      </w:r>
    </w:p>
    <w:p w14:paraId="54545ECB" w14:textId="0D1B60EF"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 xml:space="preserve">Des informations précises et standardisées sur les dates d'expiration et la production offrent aux partenaires de la chaîne logistique les moyens d'optimiser la gestion de leurs stocks. Les distributeurs peuvent optimiser la gestion des stocks, par exemple via la </w:t>
      </w:r>
      <w:hyperlink r:id="rId8" w:history="1">
        <w:r w:rsidRPr="00C378DA">
          <w:rPr>
            <w:rStyle w:val="Hyperlink"/>
            <w:rFonts w:ascii="Noto Sans" w:hAnsi="Noto Sans" w:cs="Noto Sans"/>
            <w:sz w:val="22"/>
            <w:lang w:val="fr"/>
          </w:rPr>
          <w:t>tarification dynamique en point de vente</w:t>
        </w:r>
      </w:hyperlink>
      <w:r w:rsidRPr="00C378DA">
        <w:rPr>
          <w:rFonts w:ascii="Noto Sans" w:hAnsi="Noto Sans" w:cs="Noto Sans"/>
          <w:sz w:val="22"/>
          <w:lang w:val="fr"/>
        </w:rPr>
        <w:t>, pour proposer des remises sur les produits approchant leur date limite. Appliqués au point de vente, ces mêmes protocoles permettent de détecter instantanément tout produit périmé ou rappelé, mettant ainsi fin au risque de commercialisation involontaire de denrées alimentaires impropres à la consommation. Cette solution renforce les contrôles de sécurité sanitaire tout en répondant aux objectifs de prévention du gaspillage.</w:t>
      </w:r>
    </w:p>
    <w:p w14:paraId="43C56345" w14:textId="77777777" w:rsidR="00C378DA" w:rsidRPr="00C378DA" w:rsidRDefault="00C378DA" w:rsidP="00C378DA">
      <w:pPr>
        <w:spacing w:after="160" w:line="278" w:lineRule="auto"/>
        <w:rPr>
          <w:rFonts w:ascii="Noto Sans" w:hAnsi="Noto Sans" w:cs="Noto Sans"/>
          <w:b/>
          <w:bCs/>
          <w:sz w:val="22"/>
        </w:rPr>
      </w:pPr>
      <w:r w:rsidRPr="00C378DA">
        <w:rPr>
          <w:rFonts w:ascii="Noto Sans" w:hAnsi="Noto Sans" w:cs="Noto Sans"/>
          <w:b/>
          <w:bCs/>
          <w:sz w:val="22"/>
          <w:lang w:val="fr"/>
        </w:rPr>
        <w:t>Une vision systémique de la responsabilité</w:t>
      </w:r>
    </w:p>
    <w:p w14:paraId="067E1986" w14:textId="77777777"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 xml:space="preserve">Prendre en compte le gaspillage alimentaire au même titre que la sécurité témoigne d'une véritable évolution des intentions. L'utilisation des codes 2D augmentés GS1 </w:t>
      </w:r>
      <w:r w:rsidRPr="00C378DA">
        <w:rPr>
          <w:rFonts w:ascii="Noto Sans" w:hAnsi="Noto Sans" w:cs="Noto Sans"/>
          <w:sz w:val="22"/>
          <w:lang w:val="fr"/>
        </w:rPr>
        <w:lastRenderedPageBreak/>
        <w:t>s'impose dans le cadre d'un mouvement plus large vers l'utilisation de données interopérables et fiables au sein des systèmes alimentaires.</w:t>
      </w:r>
    </w:p>
    <w:p w14:paraId="2EA5D9C9" w14:textId="77777777"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Pour les fabricants, améliorer la précision des rappels de produits comporte des avantages significatifs. En plus de réduire le gaspillage alimentaire inutile sans engendrer de risque supplémentaire, la capacité à démontrer une conformité renforcée en matière de sécurité sanitaire des aliments renforce la confiance auprès des distributeurs et des autorités réglementaires.</w:t>
      </w:r>
    </w:p>
    <w:p w14:paraId="2BA0BF06" w14:textId="77777777"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Il ne s'agit pas de remplacer les systèmes existants ni de se lancer dans une transformation de grande envergure, mais de renforcer le lien entre sécurité sanitaire et réduction du gaspillage alimentaire en améliorant le partage et l'utilisation des informations.</w:t>
      </w:r>
    </w:p>
    <w:p w14:paraId="50CD1C33" w14:textId="77777777" w:rsidR="00C378DA" w:rsidRPr="00C378DA" w:rsidRDefault="00C378DA" w:rsidP="00C378DA">
      <w:pPr>
        <w:spacing w:after="160" w:line="278" w:lineRule="auto"/>
        <w:rPr>
          <w:rFonts w:ascii="Noto Sans" w:hAnsi="Noto Sans" w:cs="Noto Sans"/>
          <w:b/>
          <w:bCs/>
          <w:sz w:val="22"/>
        </w:rPr>
      </w:pPr>
      <w:proofErr w:type="gramStart"/>
      <w:r w:rsidRPr="00C378DA">
        <w:rPr>
          <w:rFonts w:ascii="Noto Sans" w:hAnsi="Noto Sans" w:cs="Noto Sans"/>
          <w:b/>
          <w:bCs/>
          <w:sz w:val="22"/>
          <w:lang w:val="fr"/>
        </w:rPr>
        <w:t>Perspectives d'avenir</w:t>
      </w:r>
      <w:proofErr w:type="gramEnd"/>
    </w:p>
    <w:p w14:paraId="67BFB441" w14:textId="77777777" w:rsidR="00C378DA" w:rsidRPr="00C378DA" w:rsidRDefault="00C378DA" w:rsidP="00C378DA">
      <w:pPr>
        <w:spacing w:after="160" w:line="278" w:lineRule="auto"/>
        <w:rPr>
          <w:rFonts w:ascii="Noto Sans" w:hAnsi="Noto Sans" w:cs="Noto Sans"/>
          <w:sz w:val="22"/>
        </w:rPr>
      </w:pPr>
      <w:r w:rsidRPr="00C378DA">
        <w:rPr>
          <w:rFonts w:ascii="Noto Sans" w:hAnsi="Noto Sans" w:cs="Noto Sans"/>
          <w:sz w:val="22"/>
          <w:lang w:val="fr"/>
        </w:rPr>
        <w:t>Les exigences ne cessant de croître, les fabricants seront évalués non seulement sur leur capacité à gérer les incidents de sécurité sanitaire des aliments, mais également sur la rapidité et l'efficacité avec lesquelles ils y répondent. Grâce aux codes 2D augmentés GS1, les fabricants peuvent démontrer un processus de rappel alimentaire reposant sur des données probantes, soutenant les objectifs de réduction du gaspillage sans compromettre la protection des consommateurs. Des données d'emballage plus complètes, partagées selon des normes reconnues, aident les fabricants à gérer les rappels alimentaires avec précision et fiabilité, renforçant la sécurité des consommateurs tout en limitant considérablement le gaspillage alimentaire.</w:t>
      </w:r>
    </w:p>
    <w:p w14:paraId="407318C0" w14:textId="524991A4" w:rsidR="00C378DA" w:rsidRPr="00C378DA" w:rsidRDefault="00C378DA" w:rsidP="00C378DA">
      <w:pPr>
        <w:spacing w:after="160" w:line="278" w:lineRule="auto"/>
        <w:rPr>
          <w:rFonts w:ascii="Noto Sans" w:hAnsi="Noto Sans" w:cs="Noto Sans"/>
          <w:sz w:val="22"/>
          <w:lang w:val="fr"/>
        </w:rPr>
      </w:pPr>
      <w:r>
        <w:rPr>
          <w:rFonts w:ascii="Noto Sans" w:hAnsi="Noto Sans" w:cs="Noto Sans"/>
          <w:sz w:val="22"/>
          <w:lang w:val="fr"/>
        </w:rPr>
        <w:t>&lt;</w:t>
      </w:r>
      <w:r w:rsidRPr="00C378DA">
        <w:rPr>
          <w:rFonts w:ascii="Noto Sans" w:hAnsi="Noto Sans" w:cs="Noto Sans"/>
          <w:b/>
          <w:bCs/>
          <w:sz w:val="22"/>
          <w:lang w:val="fr"/>
        </w:rPr>
        <w:t>FIN</w:t>
      </w:r>
      <w:r>
        <w:rPr>
          <w:rFonts w:ascii="Noto Sans" w:hAnsi="Noto Sans" w:cs="Noto Sans"/>
          <w:sz w:val="22"/>
          <w:lang w:val="fr"/>
        </w:rPr>
        <w:t>&gt;</w:t>
      </w:r>
      <w:r w:rsidRPr="00C378DA">
        <w:rPr>
          <w:rFonts w:ascii="Noto Sans" w:hAnsi="Noto Sans" w:cs="Noto Sans"/>
          <w:sz w:val="22"/>
          <w:lang w:val="fr"/>
        </w:rPr>
        <w:t xml:space="preserve"> </w:t>
      </w:r>
    </w:p>
    <w:p w14:paraId="771E15CB" w14:textId="77777777" w:rsidR="00C378DA" w:rsidRDefault="00C378DA" w:rsidP="00C378DA">
      <w:pPr>
        <w:rPr>
          <w:rFonts w:ascii="Noto Sans" w:hAnsi="Noto Sans" w:cs="Noto Sans"/>
          <w:lang w:val="fr"/>
        </w:rPr>
      </w:pPr>
    </w:p>
    <w:p w14:paraId="0ECCD1EA" w14:textId="77777777" w:rsidR="00C378DA" w:rsidRPr="00E06028" w:rsidRDefault="00C378DA" w:rsidP="00C378DA">
      <w:pPr>
        <w:spacing w:line="240" w:lineRule="auto"/>
        <w:rPr>
          <w:rFonts w:ascii="Noto Sans" w:hAnsi="Noto Sans" w:cs="Noto Sans"/>
          <w:sz w:val="20"/>
          <w:szCs w:val="20"/>
          <w:lang w:val="fr-FR"/>
        </w:rPr>
      </w:pPr>
      <w:bookmarkStart w:id="0"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w:t>
      </w:r>
      <w:r w:rsidRPr="00E06028">
        <w:rPr>
          <w:rFonts w:ascii="Noto Sans" w:hAnsi="Noto Sans" w:cs="Noto Sans"/>
          <w:sz w:val="20"/>
          <w:szCs w:val="20"/>
          <w:lang w:val="fr-FR"/>
        </w:rPr>
        <w:lastRenderedPageBreak/>
        <w:t xml:space="preserve">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lastRenderedPageBreak/>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9"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sidRPr="00F4774E">
        <w:rPr>
          <w:rFonts w:ascii="Noto Sans" w:hAnsi="Noto Sans" w:cs="Noto Sans"/>
          <w:sz w:val="20"/>
          <w:szCs w:val="20"/>
          <w:lang w:val="nl"/>
        </w:rPr>
        <w:t>Jade Taylor-Salazar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0" w:history="1">
        <w:r w:rsidRPr="00F623A5">
          <w:rPr>
            <w:rStyle w:val="Hyperlink"/>
            <w:rFonts w:ascii="Noto Sans" w:hAnsi="Noto Sans" w:cs="Noto Sans"/>
            <w:sz w:val="20"/>
            <w:szCs w:val="20"/>
            <w:lang w:val="fr-FR"/>
          </w:rPr>
          <w:t>Jade.Taylor-Salazar@domino-uk.com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1"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r w:rsidRPr="00E06028">
        <w:rPr>
          <w:rFonts w:ascii="Noto Sans" w:hAnsi="Noto Sans" w:cs="Noto Sans"/>
          <w:sz w:val="20"/>
          <w:szCs w:val="20"/>
          <w:lang w:val="fr-FR"/>
        </w:rPr>
        <w:br/>
      </w:r>
    </w:p>
    <w:p w14:paraId="518E6852" w14:textId="77777777" w:rsidR="00C378DA" w:rsidRDefault="00C378DA" w:rsidP="00C378DA">
      <w:pPr>
        <w:rPr>
          <w:rFonts w:ascii="Noto Sans" w:hAnsi="Noto Sans" w:cs="Noto Sans"/>
        </w:rPr>
      </w:pPr>
    </w:p>
    <w:p w14:paraId="1A895040" w14:textId="77777777" w:rsidR="00C378DA" w:rsidRDefault="00C378DA" w:rsidP="00C378DA">
      <w:pPr>
        <w:rPr>
          <w:rFonts w:ascii="Noto Sans" w:hAnsi="Noto Sans" w:cs="Noto Sans"/>
        </w:rPr>
      </w:pPr>
    </w:p>
    <w:p w14:paraId="53EB7C38" w14:textId="77777777" w:rsidR="005524DB" w:rsidRPr="008E7573" w:rsidRDefault="005524DB" w:rsidP="008E7573"/>
    <w:sectPr w:rsidR="005524DB" w:rsidRPr="008E7573"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863A" w14:textId="77777777" w:rsidR="00EC53E2" w:rsidRDefault="00EC53E2" w:rsidP="00785717">
      <w:pPr>
        <w:spacing w:line="240" w:lineRule="auto"/>
      </w:pPr>
      <w:r>
        <w:separator/>
      </w:r>
    </w:p>
  </w:endnote>
  <w:endnote w:type="continuationSeparator" w:id="0">
    <w:p w14:paraId="1E55C568" w14:textId="77777777" w:rsidR="00EC53E2" w:rsidRDefault="00EC53E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7ABF" w14:textId="77777777" w:rsidR="00EC53E2" w:rsidRDefault="00EC53E2" w:rsidP="00785717">
      <w:pPr>
        <w:spacing w:line="240" w:lineRule="auto"/>
      </w:pPr>
      <w:r>
        <w:separator/>
      </w:r>
    </w:p>
  </w:footnote>
  <w:footnote w:type="continuationSeparator" w:id="0">
    <w:p w14:paraId="41A9018A" w14:textId="77777777" w:rsidR="00EC53E2" w:rsidRDefault="00EC53E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6538C"/>
    <w:rsid w:val="001D743C"/>
    <w:rsid w:val="002766D9"/>
    <w:rsid w:val="002C3337"/>
    <w:rsid w:val="00372E92"/>
    <w:rsid w:val="005272B1"/>
    <w:rsid w:val="005524DB"/>
    <w:rsid w:val="005741C7"/>
    <w:rsid w:val="0060122E"/>
    <w:rsid w:val="00647055"/>
    <w:rsid w:val="00660F46"/>
    <w:rsid w:val="00682566"/>
    <w:rsid w:val="00785717"/>
    <w:rsid w:val="008220B7"/>
    <w:rsid w:val="00823B77"/>
    <w:rsid w:val="008916A8"/>
    <w:rsid w:val="008B6461"/>
    <w:rsid w:val="008E7573"/>
    <w:rsid w:val="008F3E38"/>
    <w:rsid w:val="008F74D8"/>
    <w:rsid w:val="00931996"/>
    <w:rsid w:val="00943A95"/>
    <w:rsid w:val="009A1716"/>
    <w:rsid w:val="009A1DEC"/>
    <w:rsid w:val="009D6280"/>
    <w:rsid w:val="009E564D"/>
    <w:rsid w:val="00A34918"/>
    <w:rsid w:val="00AB11DA"/>
    <w:rsid w:val="00B23C3C"/>
    <w:rsid w:val="00B546C5"/>
    <w:rsid w:val="00BC7C15"/>
    <w:rsid w:val="00C063FE"/>
    <w:rsid w:val="00C378DA"/>
    <w:rsid w:val="00C44603"/>
    <w:rsid w:val="00C541FE"/>
    <w:rsid w:val="00CF1AD5"/>
    <w:rsid w:val="00E03029"/>
    <w:rsid w:val="00EC1C5A"/>
    <w:rsid w:val="00EC53E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C378DA"/>
    <w:rPr>
      <w:sz w:val="16"/>
      <w:szCs w:val="16"/>
    </w:rPr>
  </w:style>
  <w:style w:type="paragraph" w:styleId="CommentText">
    <w:name w:val="annotation text"/>
    <w:basedOn w:val="Normal"/>
    <w:link w:val="CommentTextChar"/>
    <w:uiPriority w:val="99"/>
    <w:unhideWhenUsed/>
    <w:rsid w:val="00C378DA"/>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C378DA"/>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fr-fr/blog/2023/how-to-reduce-food-waste-in-retail-with-2d-codes?utm_medium=non-paid&amp;utm_source=onlinepublication&amp;utm_content=when-food-safety-meets-waste-reduction-sb-fr&amp;utm_campaign=2026-int-fr-global-pr-cm-fy25-q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mino-printing.com/fr-fr/blog/2024/etes-vous-pret-pour_la_nouvelle_loi_fsma_204?utm_medium=non-paid&amp;utm_source=onlinepublication&amp;utm_content=when-food-safety-meets-waste-reduction-sb-fr&amp;utm_campaign=2026-int-fr-global-pr-cm-fy25-q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fr-fr/home.aspx?utm_medium=non-paid&amp;utm_source=onlinepublication&amp;utm_content=when-food-safety-meets-waste-reduction-sb-fr&amp;utm_campaign=2026-int-fr-global-pr-cm-fy25-q4" TargetMode="External"/><Relationship Id="rId11" Type="http://schemas.openxmlformats.org/officeDocument/2006/relationships/hyperlink" Target="mailto:delphine.baudesson@domino-marquage.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Jade.Taylor-Salazar@domino-u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6</TotalTime>
  <Pages>5</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2026-06-18T09:02:00Z</dcterms:created>
  <dcterms:modified xsi:type="dcterms:W3CDTF">2026-06-18T09:02:00Z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