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F5FA5" w14:textId="77777777" w:rsidR="00F65189" w:rsidRDefault="00F65189" w:rsidP="004A4DBA">
      <w:pPr>
        <w:spacing w:after="0"/>
        <w:jc w:val="center"/>
        <w:rPr>
          <w:b/>
          <w:bCs/>
        </w:rPr>
      </w:pPr>
    </w:p>
    <w:p w14:paraId="4C212CCD" w14:textId="53B270ED" w:rsidR="00F65189" w:rsidRDefault="00F65189" w:rsidP="00F65189">
      <w:pPr>
        <w:spacing w:before="120"/>
        <w:jc w:val="right"/>
        <w:rPr>
          <w:rFonts w:ascii="Century Gothic" w:hAnsi="Century Gothic"/>
          <w:b/>
          <w:bCs/>
          <w:color w:val="BFBFBF" w:themeColor="background1" w:themeShade="BF"/>
        </w:rPr>
      </w:pPr>
      <w:r w:rsidRPr="005A5490">
        <w:rPr>
          <w:rFonts w:ascii="Century Gothic" w:hAnsi="Century Gothic"/>
          <w:b/>
          <w:bCs/>
          <w:color w:val="BFBFBF" w:themeColor="background1" w:themeShade="BF"/>
        </w:rPr>
        <w:t>COMUN</w:t>
      </w:r>
      <w:r>
        <w:rPr>
          <w:rFonts w:ascii="Century Gothic" w:hAnsi="Century Gothic"/>
          <w:b/>
          <w:bCs/>
          <w:color w:val="BFBFBF" w:themeColor="background1" w:themeShade="BF"/>
        </w:rPr>
        <w:t>IC</w:t>
      </w:r>
      <w:r w:rsidRPr="005A5490">
        <w:rPr>
          <w:rFonts w:ascii="Century Gothic" w:hAnsi="Century Gothic"/>
          <w:b/>
          <w:bCs/>
          <w:color w:val="BFBFBF" w:themeColor="background1" w:themeShade="BF"/>
        </w:rPr>
        <w:t>ADO DE IMPRENSA</w:t>
      </w:r>
    </w:p>
    <w:p w14:paraId="7FA3053E" w14:textId="77777777" w:rsidR="004A4DBA" w:rsidRPr="004A4DBA" w:rsidRDefault="004A4DBA" w:rsidP="00F65189">
      <w:pPr>
        <w:spacing w:before="120"/>
        <w:jc w:val="right"/>
        <w:rPr>
          <w:rFonts w:ascii="Century Gothic" w:hAnsi="Century Gothic"/>
          <w:b/>
          <w:bCs/>
          <w:color w:val="BFBFBF" w:themeColor="background1" w:themeShade="BF"/>
          <w:sz w:val="10"/>
        </w:rPr>
      </w:pPr>
    </w:p>
    <w:p w14:paraId="252102D9" w14:textId="2830A37D" w:rsidR="001D279D" w:rsidRPr="00417387" w:rsidRDefault="001D279D" w:rsidP="00F65189">
      <w:pPr>
        <w:pStyle w:val="NormalWeb"/>
        <w:spacing w:before="0" w:beforeAutospacing="0" w:after="0" w:afterAutospacing="0"/>
        <w:jc w:val="center"/>
        <w:rPr>
          <w:rFonts w:ascii="Century Gothic" w:hAnsi="Century Gothic"/>
          <w:b/>
          <w:bCs/>
          <w:sz w:val="36"/>
          <w:szCs w:val="40"/>
        </w:rPr>
      </w:pPr>
      <w:r w:rsidRPr="00417387">
        <w:rPr>
          <w:rFonts w:ascii="Century Gothic" w:hAnsi="Century Gothic"/>
          <w:b/>
          <w:bCs/>
          <w:sz w:val="36"/>
          <w:szCs w:val="40"/>
        </w:rPr>
        <w:t>Universidade Europeia</w:t>
      </w:r>
      <w:r w:rsidR="00417387" w:rsidRPr="00417387">
        <w:rPr>
          <w:rFonts w:ascii="Century Gothic" w:hAnsi="Century Gothic"/>
          <w:b/>
          <w:bCs/>
          <w:sz w:val="36"/>
          <w:szCs w:val="40"/>
        </w:rPr>
        <w:t xml:space="preserve"> </w:t>
      </w:r>
      <w:r w:rsidRPr="00417387">
        <w:rPr>
          <w:rFonts w:ascii="Century Gothic" w:hAnsi="Century Gothic"/>
          <w:b/>
          <w:bCs/>
          <w:sz w:val="36"/>
          <w:szCs w:val="40"/>
        </w:rPr>
        <w:t>assina protocolo com Comando Metropolitano de Lisboa da PSP para aproximar ensino supe</w:t>
      </w:r>
      <w:bookmarkStart w:id="0" w:name="_GoBack"/>
      <w:bookmarkEnd w:id="0"/>
      <w:r w:rsidRPr="00417387">
        <w:rPr>
          <w:rFonts w:ascii="Century Gothic" w:hAnsi="Century Gothic"/>
          <w:b/>
          <w:bCs/>
          <w:sz w:val="36"/>
          <w:szCs w:val="40"/>
        </w:rPr>
        <w:t>rior e segurança pública</w:t>
      </w:r>
    </w:p>
    <w:p w14:paraId="0DC4CCB2" w14:textId="77777777" w:rsidR="00F65189" w:rsidRPr="00417387" w:rsidRDefault="00F65189" w:rsidP="00F65189">
      <w:pPr>
        <w:pStyle w:val="NormalWeb"/>
        <w:spacing w:before="0" w:beforeAutospacing="0" w:after="0" w:afterAutospacing="0"/>
        <w:jc w:val="center"/>
        <w:rPr>
          <w:rFonts w:ascii="Century Gothic" w:hAnsi="Century Gothic"/>
          <w:b/>
          <w:bCs/>
          <w:szCs w:val="40"/>
        </w:rPr>
      </w:pPr>
    </w:p>
    <w:p w14:paraId="7E771020" w14:textId="77777777" w:rsidR="001D279D" w:rsidRPr="00417387" w:rsidRDefault="001D279D" w:rsidP="00417387">
      <w:pPr>
        <w:pStyle w:val="NormalWeb"/>
        <w:spacing w:before="0" w:beforeAutospacing="0" w:after="0" w:afterAutospacing="0"/>
        <w:jc w:val="both"/>
        <w:rPr>
          <w:rFonts w:ascii="Century Gothic" w:hAnsi="Century Gothic"/>
          <w:b/>
          <w:sz w:val="22"/>
        </w:rPr>
      </w:pPr>
      <w:r w:rsidRPr="00417387">
        <w:rPr>
          <w:rFonts w:ascii="Century Gothic" w:hAnsi="Century Gothic"/>
          <w:b/>
          <w:sz w:val="22"/>
        </w:rPr>
        <w:t>Parceria prevê o desenvolvimento de projetos académicos e científicos, estágios, ações de formação e investigação aplicada em áreas como cibercrime, violência doméstica, saúde mental, inteligência artificial, comunicação institucional e policiamento de proximidade</w:t>
      </w:r>
    </w:p>
    <w:p w14:paraId="20C5AB79" w14:textId="77777777" w:rsidR="00F65189" w:rsidRPr="00281A9C" w:rsidRDefault="00F65189" w:rsidP="00281A9C">
      <w:pPr>
        <w:jc w:val="center"/>
      </w:pPr>
    </w:p>
    <w:p w14:paraId="38B29EE6" w14:textId="1938E53A" w:rsidR="001D279D" w:rsidRPr="00F65189" w:rsidRDefault="001D279D" w:rsidP="001D279D">
      <w:pPr>
        <w:jc w:val="both"/>
        <w:rPr>
          <w:rFonts w:ascii="Century Gothic" w:hAnsi="Century Gothic"/>
          <w:sz w:val="20"/>
          <w:szCs w:val="20"/>
        </w:rPr>
      </w:pPr>
      <w:r w:rsidRPr="00F65189">
        <w:rPr>
          <w:rFonts w:ascii="Century Gothic" w:hAnsi="Century Gothic"/>
          <w:b/>
          <w:bCs/>
          <w:sz w:val="20"/>
          <w:szCs w:val="20"/>
        </w:rPr>
        <w:t xml:space="preserve">Lisboa, xx, de junho de 2026 - </w:t>
      </w:r>
      <w:r w:rsidRPr="00F65189">
        <w:rPr>
          <w:rFonts w:ascii="Century Gothic" w:hAnsi="Century Gothic"/>
          <w:sz w:val="20"/>
          <w:szCs w:val="20"/>
        </w:rPr>
        <w:t>A Universidade Europeia</w:t>
      </w:r>
      <w:r w:rsidR="00417387">
        <w:rPr>
          <w:rFonts w:ascii="Century Gothic" w:hAnsi="Century Gothic"/>
          <w:sz w:val="20"/>
          <w:szCs w:val="20"/>
        </w:rPr>
        <w:t xml:space="preserve"> formaliza</w:t>
      </w:r>
      <w:r w:rsidRPr="00F65189">
        <w:rPr>
          <w:rFonts w:ascii="Century Gothic" w:hAnsi="Century Gothic"/>
          <w:sz w:val="20"/>
          <w:szCs w:val="20"/>
        </w:rPr>
        <w:t xml:space="preserve"> um protocolo de colaboração com o Comando Metropolitano de Lisboa da Polícia de Segurança Pública, com o objetivo de reforçar a ligação entre o ensino superior e os desafios concretos da segurança pública.</w:t>
      </w:r>
    </w:p>
    <w:p w14:paraId="3786C063" w14:textId="7EB391E2" w:rsidR="001D279D" w:rsidRPr="00F65189" w:rsidRDefault="001D279D" w:rsidP="001D279D">
      <w:pPr>
        <w:jc w:val="both"/>
        <w:rPr>
          <w:rFonts w:ascii="Century Gothic" w:hAnsi="Century Gothic"/>
          <w:sz w:val="20"/>
          <w:szCs w:val="20"/>
        </w:rPr>
      </w:pPr>
      <w:r w:rsidRPr="004D7647">
        <w:rPr>
          <w:rFonts w:ascii="Century Gothic" w:hAnsi="Century Gothic"/>
          <w:sz w:val="20"/>
          <w:szCs w:val="20"/>
        </w:rPr>
        <w:t>O acordo estabelece um enquadramento de cooperação entre a instituiç</w:t>
      </w:r>
      <w:r w:rsidR="004D7647" w:rsidRPr="004D7647">
        <w:rPr>
          <w:rFonts w:ascii="Century Gothic" w:hAnsi="Century Gothic"/>
          <w:sz w:val="20"/>
          <w:szCs w:val="20"/>
        </w:rPr>
        <w:t>ão</w:t>
      </w:r>
      <w:r w:rsidRPr="004D7647">
        <w:rPr>
          <w:rFonts w:ascii="Century Gothic" w:hAnsi="Century Gothic"/>
          <w:sz w:val="20"/>
          <w:szCs w:val="20"/>
        </w:rPr>
        <w:t xml:space="preserve"> de ensino e a PSP, permitindo o desenvolvimento de projetos conjuntos de natureza académica, científica, tecnológica e operacional, bem como a criação de oportunidades de aprendizagem aplicada para estudantes, docentes, investigadores e profissionais da Polícia de Segurança Pública.</w:t>
      </w:r>
    </w:p>
    <w:p w14:paraId="478F5FD8" w14:textId="5728A49F" w:rsidR="001D279D" w:rsidRPr="004D7647" w:rsidRDefault="001D279D" w:rsidP="001D279D">
      <w:pPr>
        <w:jc w:val="both"/>
        <w:rPr>
          <w:rFonts w:ascii="Century Gothic" w:hAnsi="Century Gothic"/>
          <w:color w:val="FF0000"/>
          <w:sz w:val="20"/>
          <w:szCs w:val="20"/>
        </w:rPr>
      </w:pPr>
      <w:r w:rsidRPr="00F65189">
        <w:rPr>
          <w:rFonts w:ascii="Century Gothic" w:hAnsi="Century Gothic"/>
          <w:sz w:val="20"/>
          <w:szCs w:val="20"/>
        </w:rPr>
        <w:t xml:space="preserve">A parceria pretende aproximar os estudantes da realidade institucional e operacional da PSP, promovendo a participação em projetos curriculares, desafios académicos, estudos, programas de investigação aplicada, ações de sensibilização, sessões de esclarecimento, eventos conjuntos e iniciativas de formação. </w:t>
      </w:r>
    </w:p>
    <w:p w14:paraId="625CBF0D" w14:textId="7609CDFD" w:rsidR="001D279D" w:rsidRPr="00F65189" w:rsidRDefault="001D279D" w:rsidP="001D279D">
      <w:pPr>
        <w:jc w:val="both"/>
        <w:rPr>
          <w:rFonts w:ascii="Century Gothic" w:hAnsi="Century Gothic"/>
          <w:sz w:val="20"/>
          <w:szCs w:val="20"/>
        </w:rPr>
      </w:pPr>
      <w:r w:rsidRPr="00F65189">
        <w:rPr>
          <w:rFonts w:ascii="Century Gothic" w:hAnsi="Century Gothic"/>
          <w:sz w:val="20"/>
          <w:szCs w:val="20"/>
        </w:rPr>
        <w:t xml:space="preserve">Entre as áreas prioritárias de colaboração estão temas com forte relevância social e institucional, como </w:t>
      </w:r>
      <w:r w:rsidR="00417387">
        <w:rPr>
          <w:rFonts w:ascii="Century Gothic" w:hAnsi="Century Gothic"/>
          <w:sz w:val="20"/>
          <w:szCs w:val="20"/>
        </w:rPr>
        <w:t xml:space="preserve">a </w:t>
      </w:r>
      <w:r w:rsidRPr="00F65189">
        <w:rPr>
          <w:rFonts w:ascii="Century Gothic" w:hAnsi="Century Gothic"/>
          <w:sz w:val="20"/>
          <w:szCs w:val="20"/>
        </w:rPr>
        <w:t xml:space="preserve">violência doméstica, </w:t>
      </w:r>
      <w:r w:rsidR="00417387">
        <w:rPr>
          <w:rFonts w:ascii="Century Gothic" w:hAnsi="Century Gothic"/>
          <w:sz w:val="20"/>
          <w:szCs w:val="20"/>
        </w:rPr>
        <w:t xml:space="preserve">a </w:t>
      </w:r>
      <w:r w:rsidRPr="00F65189">
        <w:rPr>
          <w:rFonts w:ascii="Century Gothic" w:hAnsi="Century Gothic"/>
          <w:sz w:val="20"/>
          <w:szCs w:val="20"/>
        </w:rPr>
        <w:t xml:space="preserve">segurança rodoviária, </w:t>
      </w:r>
      <w:r w:rsidR="00417387">
        <w:rPr>
          <w:rFonts w:ascii="Century Gothic" w:hAnsi="Century Gothic"/>
          <w:sz w:val="20"/>
          <w:szCs w:val="20"/>
        </w:rPr>
        <w:t xml:space="preserve">o </w:t>
      </w:r>
      <w:r w:rsidRPr="00F65189">
        <w:rPr>
          <w:rFonts w:ascii="Century Gothic" w:hAnsi="Century Gothic"/>
          <w:sz w:val="20"/>
          <w:szCs w:val="20"/>
        </w:rPr>
        <w:t xml:space="preserve">ciberbullying e </w:t>
      </w:r>
      <w:r w:rsidR="00417387">
        <w:rPr>
          <w:rFonts w:ascii="Century Gothic" w:hAnsi="Century Gothic"/>
          <w:sz w:val="20"/>
          <w:szCs w:val="20"/>
        </w:rPr>
        <w:t xml:space="preserve">a </w:t>
      </w:r>
      <w:r w:rsidRPr="00F65189">
        <w:rPr>
          <w:rFonts w:ascii="Century Gothic" w:hAnsi="Century Gothic"/>
          <w:sz w:val="20"/>
          <w:szCs w:val="20"/>
        </w:rPr>
        <w:t xml:space="preserve">cidadania digital, </w:t>
      </w:r>
      <w:r w:rsidR="00417387">
        <w:rPr>
          <w:rFonts w:ascii="Century Gothic" w:hAnsi="Century Gothic"/>
          <w:sz w:val="20"/>
          <w:szCs w:val="20"/>
        </w:rPr>
        <w:t xml:space="preserve">o </w:t>
      </w:r>
      <w:r w:rsidRPr="00F65189">
        <w:rPr>
          <w:rFonts w:ascii="Century Gothic" w:hAnsi="Century Gothic"/>
          <w:sz w:val="20"/>
          <w:szCs w:val="20"/>
        </w:rPr>
        <w:t xml:space="preserve">cibercrime e </w:t>
      </w:r>
      <w:r w:rsidR="00417387">
        <w:rPr>
          <w:rFonts w:ascii="Century Gothic" w:hAnsi="Century Gothic"/>
          <w:sz w:val="20"/>
          <w:szCs w:val="20"/>
        </w:rPr>
        <w:t xml:space="preserve">a </w:t>
      </w:r>
      <w:r w:rsidRPr="00F65189">
        <w:rPr>
          <w:rFonts w:ascii="Century Gothic" w:hAnsi="Century Gothic"/>
          <w:sz w:val="20"/>
          <w:szCs w:val="20"/>
        </w:rPr>
        <w:t xml:space="preserve">fraude digital, </w:t>
      </w:r>
      <w:r w:rsidR="00417387">
        <w:rPr>
          <w:rFonts w:ascii="Century Gothic" w:hAnsi="Century Gothic"/>
          <w:sz w:val="20"/>
          <w:szCs w:val="20"/>
        </w:rPr>
        <w:t xml:space="preserve">a </w:t>
      </w:r>
      <w:r w:rsidRPr="00F65189">
        <w:rPr>
          <w:rFonts w:ascii="Century Gothic" w:hAnsi="Century Gothic"/>
          <w:sz w:val="20"/>
          <w:szCs w:val="20"/>
        </w:rPr>
        <w:t xml:space="preserve">saúde mental e </w:t>
      </w:r>
      <w:r w:rsidR="00417387">
        <w:rPr>
          <w:rFonts w:ascii="Century Gothic" w:hAnsi="Century Gothic"/>
          <w:sz w:val="20"/>
          <w:szCs w:val="20"/>
        </w:rPr>
        <w:t xml:space="preserve">o </w:t>
      </w:r>
      <w:r w:rsidRPr="00F65189">
        <w:rPr>
          <w:rFonts w:ascii="Century Gothic" w:hAnsi="Century Gothic"/>
          <w:sz w:val="20"/>
          <w:szCs w:val="20"/>
        </w:rPr>
        <w:t xml:space="preserve">bem-estar operacional, </w:t>
      </w:r>
      <w:r w:rsidR="00417387">
        <w:rPr>
          <w:rFonts w:ascii="Century Gothic" w:hAnsi="Century Gothic"/>
          <w:sz w:val="20"/>
          <w:szCs w:val="20"/>
        </w:rPr>
        <w:t xml:space="preserve">o </w:t>
      </w:r>
      <w:r w:rsidRPr="00F65189">
        <w:rPr>
          <w:rFonts w:ascii="Century Gothic" w:hAnsi="Century Gothic"/>
          <w:sz w:val="20"/>
          <w:szCs w:val="20"/>
        </w:rPr>
        <w:t xml:space="preserve">policiamento de proximidade, </w:t>
      </w:r>
      <w:r w:rsidR="00417387">
        <w:rPr>
          <w:rFonts w:ascii="Century Gothic" w:hAnsi="Century Gothic"/>
          <w:sz w:val="20"/>
          <w:szCs w:val="20"/>
        </w:rPr>
        <w:t xml:space="preserve">a </w:t>
      </w:r>
      <w:r w:rsidRPr="00F65189">
        <w:rPr>
          <w:rFonts w:ascii="Century Gothic" w:hAnsi="Century Gothic"/>
          <w:sz w:val="20"/>
          <w:szCs w:val="20"/>
        </w:rPr>
        <w:t xml:space="preserve">comunicação institucional e reputação pública, </w:t>
      </w:r>
      <w:r w:rsidR="00417387">
        <w:rPr>
          <w:rFonts w:ascii="Century Gothic" w:hAnsi="Century Gothic"/>
          <w:sz w:val="20"/>
          <w:szCs w:val="20"/>
        </w:rPr>
        <w:t xml:space="preserve">a </w:t>
      </w:r>
      <w:r w:rsidRPr="00F65189">
        <w:rPr>
          <w:rFonts w:ascii="Century Gothic" w:hAnsi="Century Gothic"/>
          <w:sz w:val="20"/>
          <w:szCs w:val="20"/>
        </w:rPr>
        <w:t xml:space="preserve">investigação criminal, </w:t>
      </w:r>
      <w:r w:rsidR="00417387">
        <w:rPr>
          <w:rFonts w:ascii="Century Gothic" w:hAnsi="Century Gothic"/>
          <w:sz w:val="20"/>
          <w:szCs w:val="20"/>
        </w:rPr>
        <w:t xml:space="preserve">a </w:t>
      </w:r>
      <w:r w:rsidRPr="00F65189">
        <w:rPr>
          <w:rFonts w:ascii="Century Gothic" w:hAnsi="Century Gothic"/>
          <w:sz w:val="20"/>
          <w:szCs w:val="20"/>
        </w:rPr>
        <w:t xml:space="preserve">inteligência artificial, </w:t>
      </w:r>
      <w:r w:rsidR="00417387">
        <w:rPr>
          <w:rFonts w:ascii="Century Gothic" w:hAnsi="Century Gothic"/>
          <w:sz w:val="20"/>
          <w:szCs w:val="20"/>
        </w:rPr>
        <w:t xml:space="preserve">a </w:t>
      </w:r>
      <w:r w:rsidRPr="00F65189">
        <w:rPr>
          <w:rFonts w:ascii="Century Gothic" w:hAnsi="Century Gothic"/>
          <w:sz w:val="20"/>
          <w:szCs w:val="20"/>
        </w:rPr>
        <w:t xml:space="preserve">análise de dados, </w:t>
      </w:r>
      <w:r w:rsidR="00417387">
        <w:rPr>
          <w:rFonts w:ascii="Century Gothic" w:hAnsi="Century Gothic"/>
          <w:sz w:val="20"/>
          <w:szCs w:val="20"/>
        </w:rPr>
        <w:t xml:space="preserve">a </w:t>
      </w:r>
      <w:r w:rsidRPr="00F65189">
        <w:rPr>
          <w:rFonts w:ascii="Century Gothic" w:hAnsi="Century Gothic"/>
          <w:sz w:val="20"/>
          <w:szCs w:val="20"/>
        </w:rPr>
        <w:t xml:space="preserve">georreferenciação criminal, </w:t>
      </w:r>
      <w:r w:rsidR="00417387">
        <w:rPr>
          <w:rFonts w:ascii="Century Gothic" w:hAnsi="Century Gothic"/>
          <w:sz w:val="20"/>
          <w:szCs w:val="20"/>
        </w:rPr>
        <w:t xml:space="preserve">o </w:t>
      </w:r>
      <w:r w:rsidRPr="00F65189">
        <w:rPr>
          <w:rFonts w:ascii="Century Gothic" w:hAnsi="Century Gothic"/>
          <w:sz w:val="20"/>
          <w:szCs w:val="20"/>
        </w:rPr>
        <w:t xml:space="preserve">turismo, </w:t>
      </w:r>
      <w:r w:rsidR="00417387">
        <w:rPr>
          <w:rFonts w:ascii="Century Gothic" w:hAnsi="Century Gothic"/>
          <w:sz w:val="20"/>
          <w:szCs w:val="20"/>
        </w:rPr>
        <w:t xml:space="preserve">os </w:t>
      </w:r>
      <w:r w:rsidRPr="00F65189">
        <w:rPr>
          <w:rFonts w:ascii="Century Gothic" w:hAnsi="Century Gothic"/>
          <w:sz w:val="20"/>
          <w:szCs w:val="20"/>
        </w:rPr>
        <w:t xml:space="preserve">eventos e </w:t>
      </w:r>
      <w:r w:rsidR="00417387">
        <w:rPr>
          <w:rFonts w:ascii="Century Gothic" w:hAnsi="Century Gothic"/>
          <w:sz w:val="20"/>
          <w:szCs w:val="20"/>
        </w:rPr>
        <w:t xml:space="preserve">a </w:t>
      </w:r>
      <w:r w:rsidRPr="00F65189">
        <w:rPr>
          <w:rFonts w:ascii="Century Gothic" w:hAnsi="Century Gothic"/>
          <w:sz w:val="20"/>
          <w:szCs w:val="20"/>
        </w:rPr>
        <w:t>gestão de multidões, bem como planeamento de grandes eventos.</w:t>
      </w:r>
    </w:p>
    <w:p w14:paraId="1B1A50E8" w14:textId="3F926E5A" w:rsidR="001D279D" w:rsidRPr="00F65189" w:rsidRDefault="001D279D" w:rsidP="001D279D">
      <w:pPr>
        <w:jc w:val="both"/>
        <w:rPr>
          <w:rFonts w:ascii="Century Gothic" w:hAnsi="Century Gothic"/>
          <w:sz w:val="20"/>
          <w:szCs w:val="20"/>
        </w:rPr>
      </w:pPr>
      <w:r w:rsidRPr="00F65189">
        <w:rPr>
          <w:rFonts w:ascii="Century Gothic" w:hAnsi="Century Gothic"/>
          <w:sz w:val="20"/>
          <w:szCs w:val="20"/>
        </w:rPr>
        <w:t xml:space="preserve">Para </w:t>
      </w:r>
      <w:r w:rsidRPr="00417387">
        <w:rPr>
          <w:rFonts w:ascii="Century Gothic" w:hAnsi="Century Gothic"/>
          <w:b/>
          <w:sz w:val="20"/>
          <w:szCs w:val="20"/>
        </w:rPr>
        <w:t>Hélia Gonçalves Pereira, Reitora da Universidade Europeia</w:t>
      </w:r>
      <w:r w:rsidRPr="00F65189">
        <w:rPr>
          <w:rFonts w:ascii="Century Gothic" w:hAnsi="Century Gothic"/>
          <w:sz w:val="20"/>
          <w:szCs w:val="20"/>
        </w:rPr>
        <w:t>, este protocolo representa “</w:t>
      </w:r>
      <w:r w:rsidRPr="00F65189">
        <w:rPr>
          <w:rFonts w:ascii="Century Gothic" w:hAnsi="Century Gothic"/>
          <w:i/>
          <w:iCs/>
          <w:sz w:val="20"/>
          <w:szCs w:val="20"/>
        </w:rPr>
        <w:t>um passo muito relevante na aproximação entre a academia e uma instituição central para a segurança, a confiança e a coesão da sociedade</w:t>
      </w:r>
      <w:r w:rsidRPr="00F65189">
        <w:rPr>
          <w:rFonts w:ascii="Century Gothic" w:hAnsi="Century Gothic"/>
          <w:sz w:val="20"/>
          <w:szCs w:val="20"/>
        </w:rPr>
        <w:t>.</w:t>
      </w:r>
      <w:r w:rsidR="00417387">
        <w:rPr>
          <w:rFonts w:ascii="Century Gothic" w:hAnsi="Century Gothic"/>
          <w:sz w:val="20"/>
          <w:szCs w:val="20"/>
        </w:rPr>
        <w:t xml:space="preserve"> </w:t>
      </w:r>
      <w:r w:rsidRPr="00F65189">
        <w:rPr>
          <w:rFonts w:ascii="Century Gothic" w:hAnsi="Century Gothic"/>
          <w:i/>
          <w:iCs/>
          <w:sz w:val="20"/>
          <w:szCs w:val="20"/>
        </w:rPr>
        <w:t>Acreditamos num ensino superior profundamente ligado à realidade, capaz de transformar desafios concretos em conhecimento, investigação, inovação e aprendizagem com impacto. A colaboração com o Comando Metropolitano de Lisboa da PSP permite aos nossos estudantes e investigadores trabalhar sobre problemas reais, em áreas tão relevantes como a cibersegurança, a comunicação institucional, a saúde mental, a análise de dados ou o policiamento de proximidade, contribuindo simultaneamente para a sua formação e para o reforço da capacidade das instituições públicas</w:t>
      </w:r>
      <w:r w:rsidRPr="00F65189">
        <w:rPr>
          <w:rFonts w:ascii="Century Gothic" w:hAnsi="Century Gothic"/>
          <w:sz w:val="20"/>
          <w:szCs w:val="20"/>
        </w:rPr>
        <w:t xml:space="preserve">”, sublinha. </w:t>
      </w:r>
    </w:p>
    <w:p w14:paraId="0C4CB326" w14:textId="77777777" w:rsidR="004A4DBA" w:rsidRDefault="004A4DBA" w:rsidP="00952B64">
      <w:pPr>
        <w:jc w:val="both"/>
        <w:rPr>
          <w:rFonts w:ascii="Century Gothic" w:hAnsi="Century Gothic"/>
          <w:sz w:val="20"/>
          <w:szCs w:val="20"/>
        </w:rPr>
      </w:pPr>
    </w:p>
    <w:p w14:paraId="5B9E9F6F" w14:textId="2C0D10DD" w:rsidR="001D279D" w:rsidRPr="00F65189" w:rsidRDefault="001D279D" w:rsidP="00952B64">
      <w:pPr>
        <w:jc w:val="both"/>
        <w:rPr>
          <w:rFonts w:ascii="Century Gothic" w:hAnsi="Century Gothic"/>
          <w:sz w:val="20"/>
          <w:szCs w:val="20"/>
        </w:rPr>
      </w:pPr>
      <w:r w:rsidRPr="00F65189">
        <w:rPr>
          <w:rFonts w:ascii="Century Gothic" w:hAnsi="Century Gothic"/>
          <w:sz w:val="20"/>
          <w:szCs w:val="20"/>
        </w:rPr>
        <w:t>A Reitora frisa ainda que “</w:t>
      </w:r>
      <w:r w:rsidRPr="00F65189">
        <w:rPr>
          <w:rFonts w:ascii="Century Gothic" w:hAnsi="Century Gothic"/>
          <w:i/>
          <w:iCs/>
          <w:sz w:val="20"/>
          <w:szCs w:val="20"/>
        </w:rPr>
        <w:t>esta parceria traduz a visão da Universidade Europeia de formar profissionais tecnicamente preparados, mas também cidadãos conscientes do seu papel na sociedade, capazes de dialogar com diferentes setores, compreender problemas complexos e contribuir para soluções inovadoras, responsáveis e sustentáveis</w:t>
      </w:r>
      <w:r w:rsidRPr="00F65189">
        <w:rPr>
          <w:rFonts w:ascii="Century Gothic" w:hAnsi="Century Gothic"/>
          <w:sz w:val="20"/>
          <w:szCs w:val="20"/>
        </w:rPr>
        <w:t>”.</w:t>
      </w:r>
    </w:p>
    <w:p w14:paraId="50B2B6E3" w14:textId="6A57BEEB" w:rsidR="00D90D94" w:rsidRDefault="001D279D" w:rsidP="00952B64">
      <w:pPr>
        <w:jc w:val="both"/>
        <w:rPr>
          <w:rFonts w:ascii="Century Gothic" w:hAnsi="Century Gothic"/>
          <w:i/>
          <w:iCs/>
          <w:sz w:val="20"/>
          <w:szCs w:val="20"/>
        </w:rPr>
      </w:pPr>
      <w:r w:rsidRPr="00D90D94">
        <w:rPr>
          <w:rFonts w:ascii="Century Gothic" w:hAnsi="Century Gothic"/>
          <w:sz w:val="20"/>
          <w:szCs w:val="20"/>
        </w:rPr>
        <w:t>Por s</w:t>
      </w:r>
      <w:r w:rsidR="00F65189" w:rsidRPr="00D90D94">
        <w:rPr>
          <w:rFonts w:ascii="Century Gothic" w:hAnsi="Century Gothic"/>
          <w:sz w:val="20"/>
          <w:szCs w:val="20"/>
        </w:rPr>
        <w:t>ua</w:t>
      </w:r>
      <w:r w:rsidRPr="00D90D94">
        <w:rPr>
          <w:rFonts w:ascii="Century Gothic" w:hAnsi="Century Gothic"/>
          <w:sz w:val="20"/>
          <w:szCs w:val="20"/>
        </w:rPr>
        <w:t xml:space="preserve"> </w:t>
      </w:r>
      <w:r w:rsidR="00F65189">
        <w:rPr>
          <w:rFonts w:ascii="Century Gothic" w:hAnsi="Century Gothic"/>
          <w:sz w:val="20"/>
          <w:szCs w:val="20"/>
        </w:rPr>
        <w:t xml:space="preserve">vez, o </w:t>
      </w:r>
      <w:r w:rsidR="00F65189" w:rsidRPr="00B921C0">
        <w:rPr>
          <w:rFonts w:ascii="Century Gothic" w:hAnsi="Century Gothic"/>
          <w:b/>
          <w:sz w:val="20"/>
          <w:szCs w:val="20"/>
        </w:rPr>
        <w:t>Comandante Luís Manuel André Elias, do</w:t>
      </w:r>
      <w:r w:rsidRPr="00B921C0">
        <w:rPr>
          <w:rFonts w:ascii="Century Gothic" w:hAnsi="Century Gothic"/>
          <w:b/>
          <w:sz w:val="20"/>
          <w:szCs w:val="20"/>
        </w:rPr>
        <w:t xml:space="preserve"> Comando Metropolitano de Lisboa da Polícia de Segurança Pública</w:t>
      </w:r>
      <w:r w:rsidR="00D90D94">
        <w:rPr>
          <w:rFonts w:ascii="Century Gothic" w:hAnsi="Century Gothic"/>
          <w:sz w:val="20"/>
          <w:szCs w:val="20"/>
        </w:rPr>
        <w:t xml:space="preserve"> afirma que</w:t>
      </w:r>
      <w:r w:rsidR="00F65189">
        <w:rPr>
          <w:rFonts w:ascii="Century Gothic" w:hAnsi="Century Gothic"/>
          <w:sz w:val="20"/>
          <w:szCs w:val="20"/>
        </w:rPr>
        <w:t xml:space="preserve"> </w:t>
      </w:r>
      <w:r w:rsidR="00D90D94">
        <w:rPr>
          <w:rFonts w:ascii="Century Gothic" w:hAnsi="Century Gothic"/>
          <w:sz w:val="20"/>
          <w:szCs w:val="20"/>
        </w:rPr>
        <w:t>“</w:t>
      </w:r>
      <w:r w:rsidR="00D90D94">
        <w:rPr>
          <w:rFonts w:ascii="Century Gothic" w:hAnsi="Century Gothic"/>
          <w:i/>
          <w:iCs/>
          <w:sz w:val="20"/>
          <w:szCs w:val="20"/>
        </w:rPr>
        <w:t>e</w:t>
      </w:r>
      <w:r w:rsidR="00F65189" w:rsidRPr="00F65189">
        <w:rPr>
          <w:rFonts w:ascii="Century Gothic" w:hAnsi="Century Gothic"/>
          <w:i/>
          <w:iCs/>
          <w:sz w:val="20"/>
          <w:szCs w:val="20"/>
        </w:rPr>
        <w:t xml:space="preserve">ste protocolo </w:t>
      </w:r>
      <w:r w:rsidR="00D90D94">
        <w:rPr>
          <w:rFonts w:ascii="Century Gothic" w:hAnsi="Century Gothic"/>
          <w:i/>
          <w:iCs/>
          <w:sz w:val="20"/>
          <w:szCs w:val="20"/>
        </w:rPr>
        <w:t xml:space="preserve">é muito importante </w:t>
      </w:r>
      <w:r w:rsidR="00F65189" w:rsidRPr="00F65189">
        <w:rPr>
          <w:rFonts w:ascii="Century Gothic" w:hAnsi="Century Gothic"/>
          <w:i/>
          <w:iCs/>
          <w:sz w:val="20"/>
          <w:szCs w:val="20"/>
        </w:rPr>
        <w:t>para nó</w:t>
      </w:r>
      <w:r w:rsidR="00D90D94">
        <w:rPr>
          <w:rFonts w:ascii="Century Gothic" w:hAnsi="Century Gothic"/>
          <w:i/>
          <w:iCs/>
          <w:sz w:val="20"/>
          <w:szCs w:val="20"/>
        </w:rPr>
        <w:t>s.</w:t>
      </w:r>
      <w:r w:rsidR="00F65189" w:rsidRPr="00F65189">
        <w:rPr>
          <w:rFonts w:ascii="Century Gothic" w:hAnsi="Century Gothic"/>
          <w:i/>
          <w:iCs/>
          <w:sz w:val="20"/>
          <w:szCs w:val="20"/>
        </w:rPr>
        <w:t xml:space="preserve"> </w:t>
      </w:r>
      <w:r w:rsidR="00D90D94">
        <w:rPr>
          <w:rFonts w:ascii="Century Gothic" w:hAnsi="Century Gothic"/>
          <w:i/>
          <w:iCs/>
          <w:sz w:val="20"/>
          <w:szCs w:val="20"/>
        </w:rPr>
        <w:t>P</w:t>
      </w:r>
      <w:r w:rsidR="00F65189" w:rsidRPr="00F65189">
        <w:rPr>
          <w:rFonts w:ascii="Century Gothic" w:hAnsi="Century Gothic"/>
          <w:i/>
          <w:iCs/>
          <w:sz w:val="20"/>
          <w:szCs w:val="20"/>
        </w:rPr>
        <w:t xml:space="preserve">or um lado, </w:t>
      </w:r>
      <w:r w:rsidR="00D90D94">
        <w:rPr>
          <w:rFonts w:ascii="Century Gothic" w:hAnsi="Century Gothic"/>
          <w:i/>
          <w:iCs/>
          <w:sz w:val="20"/>
          <w:szCs w:val="20"/>
        </w:rPr>
        <w:t>tomamos</w:t>
      </w:r>
      <w:r w:rsidR="00F65189" w:rsidRPr="00F65189">
        <w:rPr>
          <w:rFonts w:ascii="Century Gothic" w:hAnsi="Century Gothic"/>
          <w:i/>
          <w:iCs/>
          <w:sz w:val="20"/>
          <w:szCs w:val="20"/>
        </w:rPr>
        <w:t xml:space="preserve"> contato com a academia e com a Universidade, </w:t>
      </w:r>
      <w:r w:rsidR="00D90D94">
        <w:rPr>
          <w:rFonts w:ascii="Century Gothic" w:hAnsi="Century Gothic"/>
          <w:i/>
          <w:iCs/>
          <w:sz w:val="20"/>
          <w:szCs w:val="20"/>
        </w:rPr>
        <w:t>reconhecida</w:t>
      </w:r>
      <w:r w:rsidR="00F65189" w:rsidRPr="00F65189">
        <w:rPr>
          <w:rFonts w:ascii="Century Gothic" w:hAnsi="Century Gothic"/>
          <w:i/>
          <w:iCs/>
          <w:sz w:val="20"/>
          <w:szCs w:val="20"/>
        </w:rPr>
        <w:t xml:space="preserve"> pela inovação e pela aposta nas novas tecnologias</w:t>
      </w:r>
      <w:r w:rsidR="00D90D94">
        <w:rPr>
          <w:rFonts w:ascii="Century Gothic" w:hAnsi="Century Gothic"/>
          <w:i/>
          <w:iCs/>
          <w:sz w:val="20"/>
          <w:szCs w:val="20"/>
        </w:rPr>
        <w:t xml:space="preserve">. Isso é fundamental </w:t>
      </w:r>
      <w:r w:rsidR="00D90D94" w:rsidRPr="00D90D94">
        <w:rPr>
          <w:rFonts w:ascii="Century Gothic" w:hAnsi="Century Gothic"/>
          <w:i/>
          <w:iCs/>
          <w:sz w:val="20"/>
          <w:szCs w:val="20"/>
        </w:rPr>
        <w:t>sobretudo tendo em conta as novas ameaças e riscos que existem atualmente no mundo e também em Portugal. Esta abertura ao meio académico e a possibilidade de, em conjunto, desenvolvermos projetos inovadores na área tecnológica são extremamente importantes para nós</w:t>
      </w:r>
      <w:r w:rsidR="00D90D94">
        <w:rPr>
          <w:rFonts w:ascii="Century Gothic" w:hAnsi="Century Gothic"/>
          <w:i/>
          <w:iCs/>
          <w:sz w:val="20"/>
          <w:szCs w:val="20"/>
        </w:rPr>
        <w:t>”.</w:t>
      </w:r>
    </w:p>
    <w:p w14:paraId="00C187A4" w14:textId="5BC932E7" w:rsidR="001D279D" w:rsidRPr="00F65189" w:rsidRDefault="001D279D" w:rsidP="00952B64">
      <w:pPr>
        <w:jc w:val="both"/>
        <w:rPr>
          <w:rFonts w:ascii="Century Gothic" w:hAnsi="Century Gothic"/>
          <w:sz w:val="20"/>
          <w:szCs w:val="20"/>
        </w:rPr>
      </w:pPr>
      <w:r w:rsidRPr="00F65189">
        <w:rPr>
          <w:rFonts w:ascii="Century Gothic" w:hAnsi="Century Gothic"/>
          <w:sz w:val="20"/>
          <w:szCs w:val="20"/>
        </w:rPr>
        <w:t>No âmbito do protocolo, a cooperação poderá concretizar-se através da identificação de desafios lançados pela PSP aos estudantes, da participação de profissionais da Polícia de Segurança Pública em sessões académicas, da utilização de casos reais em contexto curricular, do desenvolvimento de projetos interdisciplinares e da realização de estudos ou trabalhos de investigação sobre temas de interesse comum.</w:t>
      </w:r>
    </w:p>
    <w:p w14:paraId="3F4137D5" w14:textId="77777777" w:rsidR="004D7647" w:rsidRDefault="001D279D" w:rsidP="00952B64">
      <w:pPr>
        <w:jc w:val="both"/>
        <w:rPr>
          <w:rFonts w:ascii="Century Gothic" w:hAnsi="Century Gothic"/>
          <w:sz w:val="20"/>
          <w:szCs w:val="20"/>
        </w:rPr>
      </w:pPr>
      <w:r w:rsidRPr="00F65189">
        <w:rPr>
          <w:rFonts w:ascii="Century Gothic" w:hAnsi="Century Gothic"/>
          <w:sz w:val="20"/>
          <w:szCs w:val="20"/>
        </w:rPr>
        <w:t xml:space="preserve">A colaboração poderá também incluir a criação de estruturas colaborativas, como laboratórios ou observatórios conjuntos, a realização de ações de sensibilização dirigidas à comunidade, a produção de conteúdos digitais e campanhas públicas, o desenvolvimento de ferramentas analíticas, modelos preditivos ou estudos aplicados, bem como iniciativas associadas à melhoria da comunicação com públicos diversos. </w:t>
      </w:r>
    </w:p>
    <w:p w14:paraId="6B0C53E4" w14:textId="3DAA97D7" w:rsidR="003961EC" w:rsidRPr="004A4DBA" w:rsidRDefault="004D7647" w:rsidP="003961EC">
      <w:pPr>
        <w:jc w:val="both"/>
        <w:rPr>
          <w:rFonts w:ascii="Century Gothic" w:hAnsi="Century Gothic"/>
          <w:sz w:val="20"/>
          <w:szCs w:val="20"/>
        </w:rPr>
      </w:pPr>
      <w:r w:rsidRPr="004A4DBA">
        <w:rPr>
          <w:rFonts w:ascii="Century Gothic" w:hAnsi="Century Gothic"/>
          <w:sz w:val="20"/>
          <w:szCs w:val="20"/>
        </w:rPr>
        <w:t>De referir que</w:t>
      </w:r>
      <w:r w:rsidR="003961EC" w:rsidRPr="004A4DBA">
        <w:rPr>
          <w:rFonts w:ascii="Century Gothic" w:hAnsi="Century Gothic"/>
          <w:sz w:val="20"/>
          <w:szCs w:val="20"/>
        </w:rPr>
        <w:t>, a par da Universidade Europeia,</w:t>
      </w:r>
      <w:r w:rsidRPr="004A4DBA">
        <w:rPr>
          <w:rFonts w:ascii="Century Gothic" w:hAnsi="Century Gothic"/>
          <w:sz w:val="20"/>
          <w:szCs w:val="20"/>
        </w:rPr>
        <w:t xml:space="preserve"> o protocolo </w:t>
      </w:r>
      <w:r w:rsidR="003961EC" w:rsidRPr="004A4DBA">
        <w:rPr>
          <w:rFonts w:ascii="Century Gothic" w:hAnsi="Century Gothic"/>
          <w:sz w:val="20"/>
          <w:szCs w:val="20"/>
        </w:rPr>
        <w:t>estende-se</w:t>
      </w:r>
      <w:r w:rsidRPr="004A4DBA">
        <w:rPr>
          <w:rFonts w:ascii="Century Gothic" w:hAnsi="Century Gothic"/>
          <w:sz w:val="20"/>
          <w:szCs w:val="20"/>
        </w:rPr>
        <w:t xml:space="preserve"> ao IADE </w:t>
      </w:r>
      <w:r w:rsidR="003961EC" w:rsidRPr="004A4DBA">
        <w:rPr>
          <w:rFonts w:ascii="Century Gothic" w:hAnsi="Century Gothic"/>
          <w:sz w:val="20"/>
          <w:szCs w:val="20"/>
        </w:rPr>
        <w:t xml:space="preserve">e ao IPAM, instituições de ensino geridas pelo Grupo Ensilis, prevendo </w:t>
      </w:r>
      <w:r w:rsidR="004A4DBA" w:rsidRPr="004A4DBA">
        <w:rPr>
          <w:rFonts w:ascii="Century Gothic" w:hAnsi="Century Gothic"/>
          <w:sz w:val="20"/>
          <w:szCs w:val="20"/>
        </w:rPr>
        <w:t>ainda</w:t>
      </w:r>
      <w:r w:rsidR="003961EC" w:rsidRPr="004A4DBA">
        <w:rPr>
          <w:rFonts w:ascii="Century Gothic" w:hAnsi="Century Gothic"/>
          <w:sz w:val="20"/>
          <w:szCs w:val="20"/>
        </w:rPr>
        <w:t xml:space="preserve"> </w:t>
      </w:r>
      <w:r w:rsidR="003961EC" w:rsidRPr="004A4DBA">
        <w:rPr>
          <w:rFonts w:ascii="Century Gothic" w:hAnsi="Century Gothic"/>
          <w:sz w:val="20"/>
          <w:szCs w:val="20"/>
        </w:rPr>
        <w:t xml:space="preserve">a possibilidade de divulgação de oportunidades de estágio e recrutamento junto </w:t>
      </w:r>
      <w:r w:rsidR="003961EC" w:rsidRPr="004A4DBA">
        <w:rPr>
          <w:rFonts w:ascii="Century Gothic" w:hAnsi="Century Gothic"/>
          <w:sz w:val="20"/>
          <w:szCs w:val="20"/>
        </w:rPr>
        <w:t>dos seus</w:t>
      </w:r>
      <w:r w:rsidR="003961EC" w:rsidRPr="004A4DBA">
        <w:rPr>
          <w:rFonts w:ascii="Century Gothic" w:hAnsi="Century Gothic"/>
          <w:sz w:val="20"/>
          <w:szCs w:val="20"/>
        </w:rPr>
        <w:t xml:space="preserve"> estudantes e diplomados</w:t>
      </w:r>
      <w:r w:rsidR="003961EC" w:rsidRPr="004A4DBA">
        <w:rPr>
          <w:rFonts w:ascii="Century Gothic" w:hAnsi="Century Gothic"/>
          <w:sz w:val="20"/>
          <w:szCs w:val="20"/>
        </w:rPr>
        <w:t xml:space="preserve">, bem como o acesso de trabalhadores da PSP à sua oferta formativa, </w:t>
      </w:r>
      <w:r w:rsidR="003961EC" w:rsidRPr="004A4DBA">
        <w:rPr>
          <w:rFonts w:ascii="Century Gothic" w:hAnsi="Century Gothic"/>
          <w:sz w:val="20"/>
          <w:szCs w:val="20"/>
        </w:rPr>
        <w:t>incluindo programas de formação de executivos, bem como benefícios dirigidos aos colaboradores e respetivos filhos, nos termos definidos pelas instituições.</w:t>
      </w:r>
    </w:p>
    <w:p w14:paraId="2C998FEB" w14:textId="77777777" w:rsidR="004A4DBA" w:rsidRDefault="004A4DBA" w:rsidP="00F65189">
      <w:pPr>
        <w:jc w:val="both"/>
        <w:rPr>
          <w:rFonts w:ascii="Century Gothic" w:hAnsi="Century Gothic"/>
          <w:b/>
          <w:bCs/>
          <w:sz w:val="16"/>
          <w:szCs w:val="16"/>
          <w:u w:val="single"/>
        </w:rPr>
      </w:pPr>
    </w:p>
    <w:p w14:paraId="50FCD066" w14:textId="0A81B215" w:rsidR="00F65189" w:rsidRPr="00F27E21" w:rsidRDefault="00F65189" w:rsidP="00F65189">
      <w:pPr>
        <w:jc w:val="both"/>
        <w:rPr>
          <w:rFonts w:ascii="Century Gothic" w:hAnsi="Century Gothic"/>
          <w:b/>
          <w:bCs/>
          <w:sz w:val="16"/>
          <w:szCs w:val="16"/>
          <w:u w:val="single"/>
        </w:rPr>
      </w:pPr>
      <w:r w:rsidRPr="00F27E21">
        <w:rPr>
          <w:rFonts w:ascii="Century Gothic" w:hAnsi="Century Gothic"/>
          <w:b/>
          <w:bCs/>
          <w:sz w:val="16"/>
          <w:szCs w:val="16"/>
          <w:u w:val="single"/>
        </w:rPr>
        <w:t>Sobre a Universidade Europeia</w:t>
      </w:r>
    </w:p>
    <w:p w14:paraId="0DD3B2E6" w14:textId="77777777" w:rsidR="00F65189" w:rsidRPr="00F27E21" w:rsidRDefault="00F65189" w:rsidP="00F65189">
      <w:pPr>
        <w:jc w:val="both"/>
        <w:rPr>
          <w:rFonts w:ascii="Century Gothic" w:hAnsi="Century Gothic"/>
          <w:bCs/>
          <w:sz w:val="16"/>
          <w:szCs w:val="16"/>
        </w:rPr>
      </w:pPr>
      <w:r w:rsidRPr="00F27E21">
        <w:rPr>
          <w:rFonts w:ascii="Century Gothic" w:hAnsi="Century Gothic"/>
          <w:bCs/>
          <w:sz w:val="16"/>
          <w:szCs w:val="16"/>
        </w:rPr>
        <w:t>A Universidade Europeia é uma universidade inovadora, internacional e multidisciplinar que tem como missão formar líderes e profissionais preparados para responder às necessidades de um mundo global, através de um modelo académico avançado de aprendizagem experiencial, com uma estreita ligação ao mercado e às empresas. Através desta abordagem de ensino inovadora, os estudantes embarcam numa jornada única que os prepara para as profissões do futuro.</w:t>
      </w:r>
    </w:p>
    <w:p w14:paraId="0D82CCDE" w14:textId="77777777" w:rsidR="00F65189" w:rsidRPr="00F27E21" w:rsidRDefault="00F65189" w:rsidP="00F65189">
      <w:pPr>
        <w:jc w:val="both"/>
        <w:rPr>
          <w:rFonts w:ascii="Century Gothic" w:hAnsi="Century Gothic"/>
          <w:bCs/>
          <w:sz w:val="16"/>
          <w:szCs w:val="16"/>
        </w:rPr>
      </w:pPr>
      <w:r w:rsidRPr="00F27E21">
        <w:rPr>
          <w:rFonts w:ascii="Century Gothic" w:hAnsi="Century Gothic"/>
          <w:bCs/>
          <w:sz w:val="16"/>
          <w:szCs w:val="16"/>
        </w:rPr>
        <w:t>Com uma oferta educativa diversificada de Licenciaturas, Mestrados, Doutoramentos e Formação de Executivos, nas áreas de conhecimento da Gestão, Direito, Turismo, Gestão do Desporto, Design, Comunicação, Engenharia e Ciências da Saúde, a Universidade Europeia proporciona uma experiência de estudo vibrante e internacional nos seus campus em Lisboa ou através da UE Online, a Faculdade online privada líder em Portugal.</w:t>
      </w:r>
    </w:p>
    <w:p w14:paraId="6DFA13AC" w14:textId="77777777" w:rsidR="00F65189" w:rsidRPr="00F27E21" w:rsidRDefault="00F65189" w:rsidP="00F65189">
      <w:pPr>
        <w:jc w:val="both"/>
        <w:rPr>
          <w:rFonts w:ascii="Century Gothic" w:hAnsi="Century Gothic"/>
          <w:bCs/>
          <w:sz w:val="16"/>
          <w:szCs w:val="16"/>
        </w:rPr>
      </w:pPr>
      <w:r w:rsidRPr="00F27E21">
        <w:rPr>
          <w:rFonts w:ascii="Century Gothic" w:hAnsi="Century Gothic"/>
          <w:bCs/>
          <w:sz w:val="16"/>
          <w:szCs w:val="16"/>
        </w:rPr>
        <w:t xml:space="preserve">Para mais informações sobre a Universidade Europeia: </w:t>
      </w:r>
      <w:hyperlink r:id="rId6" w:history="1">
        <w:r w:rsidRPr="00F27E21">
          <w:rPr>
            <w:rStyle w:val="Hyperlink"/>
            <w:rFonts w:ascii="Century Gothic" w:hAnsi="Century Gothic"/>
            <w:bCs/>
            <w:sz w:val="16"/>
            <w:szCs w:val="16"/>
          </w:rPr>
          <w:t>www.europeia.pt</w:t>
        </w:r>
      </w:hyperlink>
    </w:p>
    <w:p w14:paraId="2DD1A213" w14:textId="77777777" w:rsidR="00F65189" w:rsidRPr="00F27E21" w:rsidRDefault="00F65189" w:rsidP="00F65189">
      <w:pPr>
        <w:spacing w:after="0"/>
        <w:jc w:val="both"/>
        <w:rPr>
          <w:rFonts w:ascii="Century Gothic" w:hAnsi="Century Gothic" w:cs="Arial"/>
          <w:sz w:val="16"/>
          <w:szCs w:val="16"/>
        </w:rPr>
      </w:pPr>
    </w:p>
    <w:p w14:paraId="5E437EA7" w14:textId="77777777" w:rsidR="00F65189" w:rsidRPr="00F27E21" w:rsidRDefault="00F65189" w:rsidP="00F65189">
      <w:pPr>
        <w:spacing w:after="0"/>
        <w:jc w:val="both"/>
        <w:rPr>
          <w:rFonts w:ascii="Century Gothic" w:hAnsi="Century Gothic" w:cs="Arial"/>
          <w:sz w:val="16"/>
          <w:szCs w:val="16"/>
        </w:rPr>
      </w:pPr>
    </w:p>
    <w:p w14:paraId="09ACC77E" w14:textId="77777777" w:rsidR="00F65189" w:rsidRDefault="00F65189" w:rsidP="00F65189">
      <w:pPr>
        <w:pStyle w:val="paragraph"/>
        <w:spacing w:before="0" w:beforeAutospacing="0" w:after="0" w:afterAutospacing="0" w:line="276" w:lineRule="auto"/>
        <w:textAlignment w:val="baseline"/>
        <w:rPr>
          <w:rStyle w:val="normaltextrun"/>
          <w:rFonts w:ascii="Century Gothic" w:hAnsi="Century Gothic" w:cstheme="minorHAnsi"/>
          <w:b/>
          <w:bCs/>
          <w:color w:val="000000"/>
          <w:sz w:val="16"/>
          <w:szCs w:val="16"/>
        </w:rPr>
      </w:pPr>
    </w:p>
    <w:p w14:paraId="446DE5DE" w14:textId="77777777" w:rsidR="00F65189" w:rsidRDefault="00F65189" w:rsidP="00F65189">
      <w:pPr>
        <w:pStyle w:val="paragraph"/>
        <w:spacing w:before="0" w:beforeAutospacing="0" w:after="0" w:afterAutospacing="0" w:line="276" w:lineRule="auto"/>
        <w:textAlignment w:val="baseline"/>
        <w:rPr>
          <w:rStyle w:val="normaltextrun"/>
          <w:rFonts w:ascii="Century Gothic" w:hAnsi="Century Gothic" w:cstheme="minorHAnsi"/>
          <w:b/>
          <w:bCs/>
          <w:color w:val="000000"/>
          <w:sz w:val="16"/>
          <w:szCs w:val="16"/>
        </w:rPr>
      </w:pPr>
    </w:p>
    <w:p w14:paraId="47185F39" w14:textId="77777777" w:rsidR="00F65189" w:rsidRPr="00477CD4" w:rsidRDefault="00F65189" w:rsidP="00F65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200" w:line="276" w:lineRule="auto"/>
        <w:rPr>
          <w:rFonts w:eastAsia="Overpass" w:cstheme="minorHAnsi"/>
          <w:b/>
          <w:color w:val="000000"/>
          <w:sz w:val="20"/>
          <w:szCs w:val="20"/>
        </w:rPr>
      </w:pPr>
    </w:p>
    <w:p w14:paraId="0D09E4ED" w14:textId="77777777" w:rsidR="00F65189" w:rsidRPr="000E6E88" w:rsidRDefault="00F65189" w:rsidP="00F65189">
      <w:pPr>
        <w:pStyle w:val="paragraph"/>
        <w:spacing w:before="0" w:beforeAutospacing="0" w:after="0" w:afterAutospacing="0" w:line="276" w:lineRule="auto"/>
        <w:jc w:val="center"/>
        <w:textAlignment w:val="baseline"/>
        <w:rPr>
          <w:rStyle w:val="eop"/>
          <w:rFonts w:ascii="Century Gothic" w:eastAsia="Noto Sans" w:hAnsi="Century Gothic" w:cstheme="minorHAnsi"/>
          <w:color w:val="000000"/>
          <w:sz w:val="18"/>
          <w:szCs w:val="18"/>
        </w:rPr>
      </w:pPr>
      <w:r w:rsidRPr="000E6E88">
        <w:rPr>
          <w:rStyle w:val="normaltextrun"/>
          <w:rFonts w:ascii="Century Gothic" w:eastAsiaTheme="majorEastAsia" w:hAnsi="Century Gothic" w:cstheme="minorHAnsi"/>
          <w:b/>
          <w:bCs/>
          <w:color w:val="000000"/>
          <w:sz w:val="18"/>
          <w:szCs w:val="18"/>
        </w:rPr>
        <w:t>Para mais informações contactar:</w:t>
      </w:r>
    </w:p>
    <w:p w14:paraId="4FA01C0F" w14:textId="77777777" w:rsidR="00F65189" w:rsidRPr="000E6E88" w:rsidRDefault="00F65189" w:rsidP="00F65189">
      <w:pPr>
        <w:pStyle w:val="paragraph"/>
        <w:spacing w:before="0" w:beforeAutospacing="0" w:after="0" w:afterAutospacing="0" w:line="276" w:lineRule="auto"/>
        <w:jc w:val="both"/>
        <w:textAlignment w:val="baseline"/>
        <w:rPr>
          <w:rFonts w:ascii="Century Gothic" w:hAnsi="Century Gothic" w:cstheme="minorHAnsi"/>
          <w:sz w:val="18"/>
          <w:szCs w:val="18"/>
        </w:rPr>
      </w:pPr>
    </w:p>
    <w:p w14:paraId="4C613B9F" w14:textId="77777777" w:rsidR="00F65189" w:rsidRPr="000E6E88" w:rsidRDefault="00F65189" w:rsidP="00F65189">
      <w:pPr>
        <w:pStyle w:val="paragraph"/>
        <w:spacing w:before="0" w:beforeAutospacing="0" w:after="0" w:afterAutospacing="0" w:line="276" w:lineRule="auto"/>
        <w:jc w:val="center"/>
        <w:textAlignment w:val="baseline"/>
        <w:rPr>
          <w:rStyle w:val="normaltextrun"/>
          <w:rFonts w:ascii="Century Gothic" w:eastAsiaTheme="majorEastAsia" w:hAnsi="Century Gothic" w:cstheme="minorHAnsi"/>
          <w:sz w:val="18"/>
          <w:szCs w:val="18"/>
        </w:rPr>
      </w:pPr>
      <w:r w:rsidRPr="000E6E88">
        <w:rPr>
          <w:rFonts w:ascii="Century Gothic" w:hAnsi="Century Gothic"/>
          <w:noProof/>
          <w:sz w:val="18"/>
          <w:szCs w:val="18"/>
        </w:rPr>
        <w:drawing>
          <wp:inline distT="0" distB="0" distL="0" distR="0" wp14:anchorId="05D21F84" wp14:editId="690FBB94">
            <wp:extent cx="2075291" cy="420246"/>
            <wp:effectExtent l="0" t="0" r="1270" b="0"/>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8990" cy="443270"/>
                    </a:xfrm>
                    <a:prstGeom prst="rect">
                      <a:avLst/>
                    </a:prstGeom>
                    <a:noFill/>
                    <a:ln>
                      <a:noFill/>
                    </a:ln>
                  </pic:spPr>
                </pic:pic>
              </a:graphicData>
            </a:graphic>
          </wp:inline>
        </w:drawing>
      </w:r>
    </w:p>
    <w:p w14:paraId="49392A3D" w14:textId="77777777" w:rsidR="00F65189" w:rsidRDefault="00F65189" w:rsidP="00F65189">
      <w:pPr>
        <w:pStyle w:val="paragraph"/>
        <w:spacing w:before="0" w:beforeAutospacing="0" w:after="0" w:afterAutospacing="0" w:line="276" w:lineRule="auto"/>
        <w:jc w:val="center"/>
        <w:textAlignment w:val="baseline"/>
        <w:rPr>
          <w:rFonts w:ascii="Century Gothic" w:eastAsiaTheme="minorEastAsia" w:hAnsi="Century Gothic" w:cstheme="minorHAnsi"/>
          <w:noProof/>
          <w:color w:val="000000"/>
          <w:sz w:val="18"/>
          <w:szCs w:val="18"/>
        </w:rPr>
      </w:pPr>
    </w:p>
    <w:p w14:paraId="31163A15" w14:textId="016E1F44" w:rsidR="00F65189" w:rsidRDefault="00F65189" w:rsidP="00F65189">
      <w:pPr>
        <w:pStyle w:val="paragraph"/>
        <w:spacing w:before="0" w:beforeAutospacing="0" w:after="0" w:afterAutospacing="0" w:line="276" w:lineRule="auto"/>
        <w:jc w:val="center"/>
        <w:textAlignment w:val="baseline"/>
        <w:rPr>
          <w:rFonts w:ascii="Century Gothic" w:eastAsiaTheme="minorEastAsia" w:hAnsi="Century Gothic" w:cstheme="minorHAnsi"/>
          <w:noProof/>
          <w:color w:val="000000"/>
          <w:sz w:val="18"/>
          <w:szCs w:val="18"/>
        </w:rPr>
      </w:pPr>
      <w:r w:rsidRPr="000E6E88">
        <w:rPr>
          <w:rFonts w:ascii="Century Gothic" w:eastAsiaTheme="minorEastAsia" w:hAnsi="Century Gothic" w:cstheme="minorHAnsi"/>
          <w:noProof/>
          <w:color w:val="000000"/>
          <w:sz w:val="18"/>
          <w:szCs w:val="18"/>
        </w:rPr>
        <w:t xml:space="preserve">Ana Santos | </w:t>
      </w:r>
      <w:hyperlink r:id="rId8" w:history="1">
        <w:r w:rsidRPr="000E6E88">
          <w:rPr>
            <w:rStyle w:val="Hyperlink"/>
            <w:rFonts w:ascii="Century Gothic" w:eastAsiaTheme="minorEastAsia" w:hAnsi="Century Gothic" w:cstheme="minorHAnsi"/>
            <w:noProof/>
            <w:sz w:val="18"/>
            <w:szCs w:val="18"/>
          </w:rPr>
          <w:t>ana.santos@lift.com.pt</w:t>
        </w:r>
      </w:hyperlink>
      <w:r w:rsidRPr="000E6E88">
        <w:rPr>
          <w:rFonts w:ascii="Century Gothic" w:eastAsiaTheme="minorEastAsia" w:hAnsi="Century Gothic" w:cstheme="minorHAnsi"/>
          <w:noProof/>
          <w:color w:val="000000"/>
          <w:sz w:val="18"/>
          <w:szCs w:val="18"/>
        </w:rPr>
        <w:t xml:space="preserve"> | +351 914 409</w:t>
      </w:r>
      <w:r>
        <w:rPr>
          <w:rFonts w:ascii="Century Gothic" w:eastAsiaTheme="minorEastAsia" w:hAnsi="Century Gothic" w:cstheme="minorHAnsi"/>
          <w:noProof/>
          <w:color w:val="000000"/>
          <w:sz w:val="18"/>
          <w:szCs w:val="18"/>
        </w:rPr>
        <w:t> </w:t>
      </w:r>
      <w:r w:rsidRPr="000E6E88">
        <w:rPr>
          <w:rFonts w:ascii="Century Gothic" w:eastAsiaTheme="minorEastAsia" w:hAnsi="Century Gothic" w:cstheme="minorHAnsi"/>
          <w:noProof/>
          <w:color w:val="000000"/>
          <w:sz w:val="18"/>
          <w:szCs w:val="18"/>
        </w:rPr>
        <w:t>595</w:t>
      </w:r>
    </w:p>
    <w:p w14:paraId="73789B0E" w14:textId="7B64F8C5" w:rsidR="00F65189" w:rsidRPr="009232BB" w:rsidRDefault="00F65189" w:rsidP="00F65189">
      <w:pPr>
        <w:jc w:val="center"/>
        <w:rPr>
          <w:rFonts w:ascii="Century Gothic" w:hAnsi="Century Gothic"/>
          <w:sz w:val="18"/>
          <w:szCs w:val="18"/>
        </w:rPr>
      </w:pPr>
      <w:r>
        <w:rPr>
          <w:rFonts w:ascii="Century Gothic" w:hAnsi="Century Gothic"/>
          <w:sz w:val="18"/>
          <w:szCs w:val="18"/>
        </w:rPr>
        <w:t>Eunice Gaspar</w:t>
      </w:r>
      <w:r w:rsidRPr="00506723">
        <w:rPr>
          <w:rFonts w:ascii="Century Gothic" w:hAnsi="Century Gothic"/>
          <w:sz w:val="18"/>
          <w:szCs w:val="18"/>
        </w:rPr>
        <w:t xml:space="preserve">| </w:t>
      </w:r>
      <w:hyperlink r:id="rId9" w:history="1">
        <w:r w:rsidRPr="00254F07">
          <w:rPr>
            <w:rStyle w:val="Hyperlink"/>
            <w:rFonts w:ascii="Century Gothic" w:hAnsi="Century Gothic"/>
            <w:sz w:val="18"/>
            <w:szCs w:val="18"/>
          </w:rPr>
          <w:t>eunice.gaspar@lift.com.pt</w:t>
        </w:r>
      </w:hyperlink>
      <w:r w:rsidRPr="00506723">
        <w:rPr>
          <w:rFonts w:ascii="Century Gothic" w:hAnsi="Century Gothic"/>
          <w:sz w:val="18"/>
          <w:szCs w:val="18"/>
        </w:rPr>
        <w:t xml:space="preserve"> | +351</w:t>
      </w:r>
      <w:r>
        <w:rPr>
          <w:rFonts w:ascii="Century Gothic" w:hAnsi="Century Gothic"/>
          <w:sz w:val="18"/>
          <w:szCs w:val="18"/>
        </w:rPr>
        <w:t> </w:t>
      </w:r>
      <w:r w:rsidRPr="00506723">
        <w:rPr>
          <w:rFonts w:ascii="Century Gothic" w:hAnsi="Century Gothic"/>
          <w:sz w:val="18"/>
          <w:szCs w:val="18"/>
        </w:rPr>
        <w:t>91</w:t>
      </w:r>
      <w:r>
        <w:rPr>
          <w:rFonts w:ascii="Century Gothic" w:hAnsi="Century Gothic"/>
          <w:sz w:val="18"/>
          <w:szCs w:val="18"/>
        </w:rPr>
        <w:t>1 774 428</w:t>
      </w:r>
      <w:r>
        <w:rPr>
          <w:rFonts w:ascii="Century Gothic" w:hAnsi="Century Gothic"/>
          <w:sz w:val="18"/>
          <w:szCs w:val="18"/>
        </w:rPr>
        <w:br/>
        <w:t xml:space="preserve">Bruna Rocha | </w:t>
      </w:r>
      <w:hyperlink r:id="rId10" w:history="1">
        <w:r w:rsidRPr="00254F07">
          <w:rPr>
            <w:rStyle w:val="Hyperlink"/>
            <w:rFonts w:ascii="Century Gothic" w:hAnsi="Century Gothic"/>
            <w:sz w:val="18"/>
            <w:szCs w:val="18"/>
          </w:rPr>
          <w:t>bruna.rocha@lift.com.pt</w:t>
        </w:r>
      </w:hyperlink>
      <w:r>
        <w:rPr>
          <w:rFonts w:ascii="Century Gothic" w:hAnsi="Century Gothic"/>
          <w:sz w:val="18"/>
          <w:szCs w:val="18"/>
        </w:rPr>
        <w:t xml:space="preserve"> | </w:t>
      </w:r>
      <w:r w:rsidRPr="00506723">
        <w:rPr>
          <w:rFonts w:ascii="Century Gothic" w:hAnsi="Century Gothic"/>
          <w:sz w:val="18"/>
          <w:szCs w:val="18"/>
        </w:rPr>
        <w:t>+351</w:t>
      </w:r>
      <w:r>
        <w:rPr>
          <w:rFonts w:ascii="Century Gothic" w:hAnsi="Century Gothic"/>
          <w:sz w:val="18"/>
          <w:szCs w:val="18"/>
        </w:rPr>
        <w:t> </w:t>
      </w:r>
      <w:r w:rsidRPr="00506723">
        <w:rPr>
          <w:rFonts w:ascii="Century Gothic" w:hAnsi="Century Gothic"/>
          <w:sz w:val="18"/>
          <w:szCs w:val="18"/>
        </w:rPr>
        <w:t>9</w:t>
      </w:r>
      <w:r>
        <w:rPr>
          <w:rFonts w:ascii="Century Gothic" w:hAnsi="Century Gothic"/>
          <w:sz w:val="18"/>
          <w:szCs w:val="18"/>
        </w:rPr>
        <w:t>10</w:t>
      </w:r>
      <w:r w:rsidRPr="009232BB">
        <w:rPr>
          <w:rFonts w:ascii="Century Gothic" w:hAnsi="Century Gothic"/>
          <w:sz w:val="18"/>
          <w:szCs w:val="18"/>
        </w:rPr>
        <w:t xml:space="preserve"> 751 944</w:t>
      </w:r>
    </w:p>
    <w:p w14:paraId="5EC178F0" w14:textId="77777777" w:rsidR="00F65189" w:rsidRPr="0068090A" w:rsidRDefault="00F65189" w:rsidP="00F65189">
      <w:pPr>
        <w:pStyle w:val="paragraph"/>
        <w:spacing w:before="0" w:beforeAutospacing="0" w:after="0" w:afterAutospacing="0" w:line="276" w:lineRule="auto"/>
        <w:jc w:val="center"/>
        <w:textAlignment w:val="baseline"/>
        <w:rPr>
          <w:rStyle w:val="normaltextrun"/>
          <w:rFonts w:ascii="Century Gothic" w:eastAsiaTheme="majorEastAsia" w:hAnsi="Century Gothic" w:cstheme="minorHAnsi"/>
          <w:color w:val="333333"/>
          <w:sz w:val="20"/>
          <w:szCs w:val="20"/>
        </w:rPr>
      </w:pPr>
    </w:p>
    <w:p w14:paraId="500AFF9B" w14:textId="77777777" w:rsidR="00F65189" w:rsidRDefault="00F65189"/>
    <w:sectPr w:rsidR="00F65189">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D385F" w14:textId="77777777" w:rsidR="001D1652" w:rsidRDefault="001D1652" w:rsidP="00F65189">
      <w:pPr>
        <w:spacing w:after="0" w:line="240" w:lineRule="auto"/>
      </w:pPr>
      <w:r>
        <w:separator/>
      </w:r>
    </w:p>
  </w:endnote>
  <w:endnote w:type="continuationSeparator" w:id="0">
    <w:p w14:paraId="4611FBE3" w14:textId="77777777" w:rsidR="001D1652" w:rsidRDefault="001D1652" w:rsidP="00F6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verpass">
    <w:altName w:val="Calibri"/>
    <w:charset w:val="00"/>
    <w:family w:val="auto"/>
    <w:pitch w:val="default"/>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07E06" w14:textId="77777777" w:rsidR="001D1652" w:rsidRDefault="001D1652" w:rsidP="00F65189">
      <w:pPr>
        <w:spacing w:after="0" w:line="240" w:lineRule="auto"/>
      </w:pPr>
      <w:r>
        <w:separator/>
      </w:r>
    </w:p>
  </w:footnote>
  <w:footnote w:type="continuationSeparator" w:id="0">
    <w:p w14:paraId="1F66BF2E" w14:textId="77777777" w:rsidR="001D1652" w:rsidRDefault="001D1652" w:rsidP="00F65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3C2C1" w14:textId="2837FEE9" w:rsidR="00F65189" w:rsidRDefault="004D7647">
    <w:pPr>
      <w:pStyle w:val="Header"/>
    </w:pPr>
    <w:r>
      <w:rPr>
        <w:noProof/>
      </w:rPr>
      <w:drawing>
        <wp:inline distT="0" distB="0" distL="0" distR="0" wp14:anchorId="073B0611" wp14:editId="7E647058">
          <wp:extent cx="2307600" cy="518400"/>
          <wp:effectExtent l="0" t="0" r="0" b="0"/>
          <wp:docPr id="803244017" name="Picture 2" descr="Uma imagem com texto, Tipo de letra, Gráficos,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Uma imagem com texto, Tipo de letra, Gráficos, captura de ecrã&#10;&#10;Os conteúdos gerados por IA podem estar incorreto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14539"/>
                  <a:stretch/>
                </pic:blipFill>
                <pic:spPr bwMode="auto">
                  <a:xfrm>
                    <a:off x="0" y="0"/>
                    <a:ext cx="2307600" cy="5184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9D"/>
    <w:rsid w:val="00087AE2"/>
    <w:rsid w:val="001D1652"/>
    <w:rsid w:val="001D279D"/>
    <w:rsid w:val="0027095B"/>
    <w:rsid w:val="00281A9C"/>
    <w:rsid w:val="003961EC"/>
    <w:rsid w:val="00417387"/>
    <w:rsid w:val="004A4DBA"/>
    <w:rsid w:val="004D7647"/>
    <w:rsid w:val="00510E1A"/>
    <w:rsid w:val="007271DF"/>
    <w:rsid w:val="00847FDC"/>
    <w:rsid w:val="00952B64"/>
    <w:rsid w:val="00B52E6F"/>
    <w:rsid w:val="00B921C0"/>
    <w:rsid w:val="00D12A47"/>
    <w:rsid w:val="00D83C18"/>
    <w:rsid w:val="00D90D94"/>
    <w:rsid w:val="00F651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A944"/>
  <w15:chartTrackingRefBased/>
  <w15:docId w15:val="{3CBA1652-6F13-4775-8A41-53DB3E2B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79D"/>
    <w:rPr>
      <w:rFonts w:eastAsiaTheme="majorEastAsia" w:cstheme="majorBidi"/>
      <w:color w:val="272727" w:themeColor="text1" w:themeTint="D8"/>
    </w:rPr>
  </w:style>
  <w:style w:type="paragraph" w:styleId="Title">
    <w:name w:val="Title"/>
    <w:basedOn w:val="Normal"/>
    <w:next w:val="Normal"/>
    <w:link w:val="TitleChar"/>
    <w:uiPriority w:val="10"/>
    <w:qFormat/>
    <w:rsid w:val="001D2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79D"/>
    <w:pPr>
      <w:spacing w:before="160"/>
      <w:jc w:val="center"/>
    </w:pPr>
    <w:rPr>
      <w:i/>
      <w:iCs/>
      <w:color w:val="404040" w:themeColor="text1" w:themeTint="BF"/>
    </w:rPr>
  </w:style>
  <w:style w:type="character" w:customStyle="1" w:styleId="QuoteChar">
    <w:name w:val="Quote Char"/>
    <w:basedOn w:val="DefaultParagraphFont"/>
    <w:link w:val="Quote"/>
    <w:uiPriority w:val="29"/>
    <w:rsid w:val="001D279D"/>
    <w:rPr>
      <w:i/>
      <w:iCs/>
      <w:color w:val="404040" w:themeColor="text1" w:themeTint="BF"/>
    </w:rPr>
  </w:style>
  <w:style w:type="paragraph" w:styleId="ListParagraph">
    <w:name w:val="List Paragraph"/>
    <w:basedOn w:val="Normal"/>
    <w:uiPriority w:val="34"/>
    <w:qFormat/>
    <w:rsid w:val="001D279D"/>
    <w:pPr>
      <w:ind w:left="720"/>
      <w:contextualSpacing/>
    </w:pPr>
  </w:style>
  <w:style w:type="character" w:styleId="IntenseEmphasis">
    <w:name w:val="Intense Emphasis"/>
    <w:basedOn w:val="DefaultParagraphFont"/>
    <w:uiPriority w:val="21"/>
    <w:qFormat/>
    <w:rsid w:val="001D279D"/>
    <w:rPr>
      <w:i/>
      <w:iCs/>
      <w:color w:val="0F4761" w:themeColor="accent1" w:themeShade="BF"/>
    </w:rPr>
  </w:style>
  <w:style w:type="paragraph" w:styleId="IntenseQuote">
    <w:name w:val="Intense Quote"/>
    <w:basedOn w:val="Normal"/>
    <w:next w:val="Normal"/>
    <w:link w:val="IntenseQuoteChar"/>
    <w:uiPriority w:val="30"/>
    <w:qFormat/>
    <w:rsid w:val="001D2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79D"/>
    <w:rPr>
      <w:i/>
      <w:iCs/>
      <w:color w:val="0F4761" w:themeColor="accent1" w:themeShade="BF"/>
    </w:rPr>
  </w:style>
  <w:style w:type="character" w:styleId="IntenseReference">
    <w:name w:val="Intense Reference"/>
    <w:basedOn w:val="DefaultParagraphFont"/>
    <w:uiPriority w:val="32"/>
    <w:qFormat/>
    <w:rsid w:val="001D279D"/>
    <w:rPr>
      <w:b/>
      <w:bCs/>
      <w:smallCaps/>
      <w:color w:val="0F4761" w:themeColor="accent1" w:themeShade="BF"/>
      <w:spacing w:val="5"/>
    </w:rPr>
  </w:style>
  <w:style w:type="character" w:styleId="Hyperlink">
    <w:name w:val="Hyperlink"/>
    <w:basedOn w:val="DefaultParagraphFont"/>
    <w:uiPriority w:val="99"/>
    <w:unhideWhenUsed/>
    <w:rsid w:val="001D279D"/>
    <w:rPr>
      <w:color w:val="467886" w:themeColor="hyperlink"/>
      <w:u w:val="single"/>
    </w:rPr>
  </w:style>
  <w:style w:type="character" w:styleId="UnresolvedMention">
    <w:name w:val="Unresolved Mention"/>
    <w:basedOn w:val="DefaultParagraphFont"/>
    <w:uiPriority w:val="99"/>
    <w:semiHidden/>
    <w:unhideWhenUsed/>
    <w:rsid w:val="001D279D"/>
    <w:rPr>
      <w:color w:val="605E5C"/>
      <w:shd w:val="clear" w:color="auto" w:fill="E1DFDD"/>
    </w:rPr>
  </w:style>
  <w:style w:type="paragraph" w:styleId="Header">
    <w:name w:val="header"/>
    <w:basedOn w:val="Normal"/>
    <w:link w:val="HeaderChar"/>
    <w:uiPriority w:val="99"/>
    <w:unhideWhenUsed/>
    <w:rsid w:val="00F65189"/>
    <w:pPr>
      <w:tabs>
        <w:tab w:val="center" w:pos="4252"/>
        <w:tab w:val="right" w:pos="8504"/>
      </w:tabs>
      <w:spacing w:after="0" w:line="240" w:lineRule="auto"/>
    </w:pPr>
  </w:style>
  <w:style w:type="character" w:customStyle="1" w:styleId="HeaderChar">
    <w:name w:val="Header Char"/>
    <w:basedOn w:val="DefaultParagraphFont"/>
    <w:link w:val="Header"/>
    <w:uiPriority w:val="99"/>
    <w:rsid w:val="00F65189"/>
  </w:style>
  <w:style w:type="paragraph" w:styleId="Footer">
    <w:name w:val="footer"/>
    <w:basedOn w:val="Normal"/>
    <w:link w:val="FooterChar"/>
    <w:uiPriority w:val="99"/>
    <w:unhideWhenUsed/>
    <w:rsid w:val="00F65189"/>
    <w:pPr>
      <w:tabs>
        <w:tab w:val="center" w:pos="4252"/>
        <w:tab w:val="right" w:pos="8504"/>
      </w:tabs>
      <w:spacing w:after="0" w:line="240" w:lineRule="auto"/>
    </w:pPr>
  </w:style>
  <w:style w:type="character" w:customStyle="1" w:styleId="FooterChar">
    <w:name w:val="Footer Char"/>
    <w:basedOn w:val="DefaultParagraphFont"/>
    <w:link w:val="Footer"/>
    <w:uiPriority w:val="99"/>
    <w:rsid w:val="00F65189"/>
  </w:style>
  <w:style w:type="paragraph" w:styleId="NormalWeb">
    <w:name w:val="Normal (Web)"/>
    <w:basedOn w:val="Normal"/>
    <w:uiPriority w:val="99"/>
    <w:unhideWhenUsed/>
    <w:rsid w:val="00F65189"/>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customStyle="1" w:styleId="normaltextrun">
    <w:name w:val="normaltextrun"/>
    <w:basedOn w:val="DefaultParagraphFont"/>
    <w:rsid w:val="00F65189"/>
  </w:style>
  <w:style w:type="paragraph" w:customStyle="1" w:styleId="paragraph">
    <w:name w:val="paragraph"/>
    <w:basedOn w:val="Normal"/>
    <w:rsid w:val="00F65189"/>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customStyle="1" w:styleId="eop">
    <w:name w:val="eop"/>
    <w:basedOn w:val="DefaultParagraphFont"/>
    <w:rsid w:val="00F6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antos@lift.com.p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peia.p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bruna.rocha@lift.com.pt" TargetMode="External"/><Relationship Id="rId4" Type="http://schemas.openxmlformats.org/officeDocument/2006/relationships/footnotes" Target="footnotes.xml"/><Relationship Id="rId9" Type="http://schemas.openxmlformats.org/officeDocument/2006/relationships/hyperlink" Target="mailto:eunice.gaspar@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985</Words>
  <Characters>5320</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Gaspar</dc:creator>
  <cp:keywords/>
  <dc:description/>
  <cp:lastModifiedBy>Sara Filipe</cp:lastModifiedBy>
  <cp:revision>3</cp:revision>
  <dcterms:created xsi:type="dcterms:W3CDTF">2026-06-03T09:39:00Z</dcterms:created>
  <dcterms:modified xsi:type="dcterms:W3CDTF">2026-06-03T09:42:00Z</dcterms:modified>
</cp:coreProperties>
</file>