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228BF" w14:textId="77777777" w:rsidR="00017E1B" w:rsidRPr="00017E1B" w:rsidRDefault="00017E1B" w:rsidP="00017E1B">
      <w:pPr>
        <w:spacing w:before="120" w:after="120" w:line="240" w:lineRule="auto"/>
        <w:rPr>
          <w:rFonts w:ascii="Noto Sans" w:eastAsia="Times New Roman" w:hAnsi="Noto Sans" w:cs="Noto Sans"/>
          <w:sz w:val="28"/>
          <w:szCs w:val="28"/>
          <w:lang w:val="fr-FR"/>
        </w:rPr>
      </w:pPr>
      <w:r w:rsidRPr="00017E1B">
        <w:rPr>
          <w:rFonts w:ascii="Noto Sans" w:eastAsia="Times New Roman" w:hAnsi="Noto Sans" w:cs="Noto Sans"/>
          <w:b/>
          <w:bCs/>
          <w:sz w:val="28"/>
          <w:szCs w:val="28"/>
          <w:lang w:val="fr"/>
        </w:rPr>
        <w:t>De l'impression au point de vente :</w:t>
      </w:r>
      <w:r w:rsidRPr="00017E1B">
        <w:rPr>
          <w:rFonts w:ascii="Noto Sans" w:eastAsia="Times New Roman" w:hAnsi="Noto Sans" w:cs="Noto Sans"/>
          <w:sz w:val="28"/>
          <w:szCs w:val="28"/>
          <w:lang w:val="fr"/>
        </w:rPr>
        <w:t xml:space="preserve"> </w:t>
      </w:r>
      <w:r w:rsidRPr="00017E1B">
        <w:rPr>
          <w:rFonts w:ascii="Noto Sans" w:eastAsia="Times New Roman" w:hAnsi="Noto Sans" w:cs="Noto Sans"/>
          <w:b/>
          <w:bCs/>
          <w:sz w:val="28"/>
          <w:szCs w:val="28"/>
          <w:lang w:val="fr"/>
        </w:rPr>
        <w:t>Des codes 2D augmentés GS1 fiables pour les étiquettes et les emballages</w:t>
      </w:r>
    </w:p>
    <w:p w14:paraId="00C225B8" w14:textId="2DBF890A" w:rsidR="00017E1B" w:rsidRPr="00017E1B" w:rsidRDefault="00017E1B" w:rsidP="00017E1B">
      <w:pPr>
        <w:spacing w:before="120" w:after="120" w:line="240" w:lineRule="auto"/>
        <w:rPr>
          <w:rFonts w:ascii="Noto Sans" w:eastAsia="Times New Roman" w:hAnsi="Noto Sans" w:cs="Noto Sans"/>
          <w:sz w:val="22"/>
          <w:lang w:val="fr-FR"/>
        </w:rPr>
      </w:pPr>
      <w:r w:rsidRPr="00017E1B">
        <w:rPr>
          <w:rFonts w:ascii="Noto Sans" w:eastAsia="Times New Roman" w:hAnsi="Noto Sans" w:cs="Noto Sans"/>
          <w:sz w:val="22"/>
          <w:lang w:val="fr"/>
        </w:rPr>
        <w:t xml:space="preserve">Alors que le déploiement dans le commerce de détail d'emballages et d'étiquettes dotés de </w:t>
      </w:r>
      <w:hyperlink r:id="rId6" w:history="1">
        <w:r w:rsidRPr="00017E1B">
          <w:rPr>
            <w:rFonts w:ascii="Noto Sans" w:eastAsia="Times New Roman" w:hAnsi="Noto Sans" w:cs="Noto Sans"/>
            <w:color w:val="0563C1" w:themeColor="hyperlink"/>
            <w:sz w:val="22"/>
            <w:u w:val="single"/>
            <w:lang w:val="fr"/>
          </w:rPr>
          <w:t>codes 2D augmentés GS1</w:t>
        </w:r>
      </w:hyperlink>
      <w:r w:rsidRPr="00017E1B">
        <w:rPr>
          <w:rFonts w:ascii="Noto Sans" w:eastAsia="Times New Roman" w:hAnsi="Noto Sans" w:cs="Noto Sans"/>
          <w:sz w:val="22"/>
          <w:lang w:val="fr"/>
        </w:rPr>
        <w:t xml:space="preserve"> s'accélère, Toby Hayhurst, Product Manager – Digital Monochrome, Domino Printing Sciences, explique comment les transformateurs peuvent se préparer à répondre à la demande croissante d'emballages dotés de codes 2D vérifiés et conformes.</w:t>
      </w:r>
    </w:p>
    <w:p w14:paraId="332DC0E9" w14:textId="77777777" w:rsidR="00017E1B" w:rsidRPr="00017E1B" w:rsidRDefault="00017E1B" w:rsidP="00017E1B">
      <w:pPr>
        <w:spacing w:before="120" w:after="120" w:line="240" w:lineRule="auto"/>
        <w:rPr>
          <w:rFonts w:ascii="Noto Sans" w:eastAsia="Times New Roman" w:hAnsi="Noto Sans" w:cs="Noto Sans"/>
          <w:sz w:val="22"/>
          <w:lang w:val="fr-FR"/>
        </w:rPr>
      </w:pPr>
      <w:r w:rsidRPr="00017E1B">
        <w:rPr>
          <w:rFonts w:ascii="Noto Sans" w:eastAsia="Times New Roman" w:hAnsi="Noto Sans" w:cs="Noto Sans"/>
          <w:b/>
          <w:bCs/>
          <w:sz w:val="22"/>
          <w:lang w:val="fr"/>
        </w:rPr>
        <w:t>Choisir le bon équipement d'impression</w:t>
      </w:r>
    </w:p>
    <w:p w14:paraId="7D4E85E8" w14:textId="77777777" w:rsidR="00017E1B" w:rsidRPr="00017E1B" w:rsidRDefault="00017E1B" w:rsidP="00017E1B">
      <w:pPr>
        <w:spacing w:before="120" w:after="120" w:line="240" w:lineRule="auto"/>
        <w:rPr>
          <w:rFonts w:ascii="Noto Sans" w:eastAsia="Times New Roman" w:hAnsi="Noto Sans" w:cs="Noto Sans"/>
          <w:sz w:val="22"/>
          <w:lang w:val="fr-FR"/>
        </w:rPr>
      </w:pPr>
      <w:r w:rsidRPr="00017E1B">
        <w:rPr>
          <w:rFonts w:ascii="Noto Sans" w:eastAsia="Times New Roman" w:hAnsi="Noto Sans" w:cs="Noto Sans"/>
          <w:sz w:val="22"/>
          <w:lang w:val="fr"/>
        </w:rPr>
        <w:t xml:space="preserve">Les codes 2D augmentés GS1 sont des vecteurs de données multifonctionnels contenant des informations sur le fabricant, les prix et le consommateur, et les enjeux liés à leur bonne exécution sont élevés. Des codes illisibles peuvent compromettre la confiance des détaillants et des consommateurs et ternir la réputation du fournisseur d'emballages, d'où l'importance pour les transformateurs de choisir des équipements d'impression et de vérification appropriés, ainsi que des flux de travail performants. </w:t>
      </w:r>
    </w:p>
    <w:p w14:paraId="487403C3" w14:textId="77777777" w:rsidR="00017E1B" w:rsidRPr="00017E1B" w:rsidRDefault="00017E1B" w:rsidP="00017E1B">
      <w:pPr>
        <w:spacing w:before="120" w:after="120" w:line="240" w:lineRule="auto"/>
        <w:rPr>
          <w:rFonts w:ascii="Noto Sans" w:eastAsia="Times New Roman" w:hAnsi="Noto Sans" w:cs="Noto Sans"/>
          <w:sz w:val="22"/>
          <w:lang w:val="fr-FR"/>
        </w:rPr>
      </w:pPr>
      <w:r w:rsidRPr="00017E1B">
        <w:rPr>
          <w:rFonts w:ascii="Noto Sans" w:eastAsia="Times New Roman" w:hAnsi="Noto Sans" w:cs="Noto Sans"/>
          <w:sz w:val="22"/>
          <w:lang w:val="fr"/>
        </w:rPr>
        <w:t xml:space="preserve">Un élément clé à prendre en compte sera le choix de la marque entre des codes QR statiques ou variables et les volumes requis. Les codes statiques </w:t>
      </w:r>
      <w:hyperlink r:id="rId7" w:history="1">
        <w:r w:rsidRPr="00017E1B">
          <w:rPr>
            <w:rFonts w:ascii="Noto Sans" w:eastAsia="Times New Roman" w:hAnsi="Noto Sans" w:cs="Noto Sans"/>
            <w:color w:val="0563C1" w:themeColor="hyperlink"/>
            <w:sz w:val="22"/>
            <w:u w:val="single"/>
            <w:lang w:val="fr"/>
          </w:rPr>
          <w:t>remplacent essentiellement un code-barres GS1 EAN-13</w:t>
        </w:r>
      </w:hyperlink>
      <w:r w:rsidRPr="00017E1B">
        <w:rPr>
          <w:rFonts w:ascii="Noto Sans" w:eastAsia="Times New Roman" w:hAnsi="Noto Sans" w:cs="Noto Sans"/>
          <w:sz w:val="22"/>
          <w:lang w:val="fr"/>
        </w:rPr>
        <w:t xml:space="preserve"> au point de vente, incluant le numéro d'article commercial international (GTIN) du produit et une URL fixe en option pour la lecture par le consommateur. Ces codes sont standardisés, fournis par la marque dans le cadre de l'illustration, et peuvent être imprimés en grande série via des procédés analogiques ou numériques, pour autant que les normes de résolution et de qualité requises soient respectées.</w:t>
      </w:r>
    </w:p>
    <w:p w14:paraId="25C1366B" w14:textId="77777777" w:rsidR="00017E1B" w:rsidRPr="00017E1B" w:rsidRDefault="00017E1B" w:rsidP="00017E1B">
      <w:pPr>
        <w:spacing w:before="120" w:after="120" w:line="240" w:lineRule="auto"/>
        <w:rPr>
          <w:rFonts w:ascii="Noto Sans" w:eastAsia="Times New Roman" w:hAnsi="Noto Sans" w:cs="Noto Sans"/>
          <w:sz w:val="22"/>
          <w:lang w:val="fr-FR"/>
        </w:rPr>
      </w:pPr>
      <w:r w:rsidRPr="00017E1B">
        <w:rPr>
          <w:rFonts w:ascii="Noto Sans" w:eastAsia="Times New Roman" w:hAnsi="Noto Sans" w:cs="Noto Sans"/>
          <w:sz w:val="22"/>
          <w:lang w:val="fr"/>
        </w:rPr>
        <w:t>Les codes 2D variables et sérialisés intégrant des informations spécifiques aux articles au niveau du lot ou des identifiants uniques (par exemple pour la lutte contre la contrefaçon) offrent une valeur ajoutée plus importante pour les marques, mais sont plus complexes à produire. La production à grande échelle exige un flux de travail d'impression numérique offrant une gestion des données variables. Parmi les possibilités figurent une presse numérique pour étiquettes ou une presse pour carton ondulé imprimant à la fois l'illustration et les codes variables, une imprimante jet d'encre monochrome surimprimant les codes dans le cadre d'une ligne hybride, ou une personnalisation tardive hors ligne d'étiquettes et d'emballages pré-imprimés. </w:t>
      </w:r>
    </w:p>
    <w:p w14:paraId="005173E7" w14:textId="735AC301" w:rsidR="00017E1B" w:rsidRPr="00017E1B" w:rsidRDefault="00017E1B" w:rsidP="00017E1B">
      <w:pPr>
        <w:spacing w:before="120" w:after="120" w:line="240" w:lineRule="auto"/>
        <w:rPr>
          <w:rFonts w:ascii="Noto Sans" w:eastAsia="Times New Roman" w:hAnsi="Noto Sans" w:cs="Noto Sans"/>
          <w:sz w:val="22"/>
          <w:lang w:val="fr-FR"/>
        </w:rPr>
      </w:pPr>
      <w:r w:rsidRPr="00017E1B">
        <w:rPr>
          <w:rFonts w:ascii="Noto Sans" w:eastAsia="Times New Roman" w:hAnsi="Noto Sans" w:cs="Noto Sans"/>
          <w:sz w:val="22"/>
          <w:lang w:val="fr"/>
        </w:rPr>
        <w:t xml:space="preserve">Les marques adopteront également différentes approches pour générer des codes 2D variables. Les transformateurs peuvent être amenés à acquérir des licences pour une ou plusieurs API tierces afin de lier les codes à une base de données compatible avec les </w:t>
      </w:r>
      <w:hyperlink r:id="rId8" w:history="1">
        <w:r w:rsidRPr="00017E1B">
          <w:rPr>
            <w:rFonts w:ascii="Noto Sans" w:eastAsia="Times New Roman" w:hAnsi="Noto Sans" w:cs="Noto Sans"/>
            <w:color w:val="0563C1" w:themeColor="hyperlink"/>
            <w:sz w:val="22"/>
            <w:u w:val="single"/>
            <w:lang w:val="fr"/>
          </w:rPr>
          <w:t xml:space="preserve">passeports numériques de </w:t>
        </w:r>
        <w:r w:rsidRPr="00017E1B">
          <w:rPr>
            <w:rFonts w:ascii="Noto Sans" w:eastAsia="Times New Roman" w:hAnsi="Noto Sans" w:cs="Noto Sans"/>
            <w:color w:val="0563C1" w:themeColor="hyperlink"/>
            <w:sz w:val="22"/>
            <w:u w:val="single"/>
            <w:lang w:val="fr"/>
          </w:rPr>
          <w:t>produits</w:t>
        </w:r>
      </w:hyperlink>
      <w:r w:rsidRPr="00017E1B">
        <w:rPr>
          <w:rFonts w:ascii="Noto Sans" w:eastAsia="Times New Roman" w:hAnsi="Noto Sans" w:cs="Noto Sans"/>
          <w:sz w:val="22"/>
          <w:lang w:val="fr"/>
        </w:rPr>
        <w:t xml:space="preserve">, incluant les informations nécessaires relatives aux consommateurs, à la distribution et à la chaîne logistique. Il sera indispensable de travailler en étroite collaboration avec le(s) fournisseur(s) d'API et le prestataire de flux de travail de presse afin de mettre en place des connexions sécurisées et des </w:t>
      </w:r>
      <w:r w:rsidRPr="00017E1B">
        <w:rPr>
          <w:rFonts w:ascii="Noto Sans" w:eastAsia="Times New Roman" w:hAnsi="Noto Sans" w:cs="Noto Sans"/>
          <w:sz w:val="22"/>
          <w:lang w:val="fr"/>
        </w:rPr>
        <w:lastRenderedPageBreak/>
        <w:t xml:space="preserve">protocoles de transfert de données, assurant une affectation automatique des codes uniques. </w:t>
      </w:r>
    </w:p>
    <w:p w14:paraId="4FD80DE7" w14:textId="77777777" w:rsidR="00017E1B" w:rsidRPr="00017E1B" w:rsidRDefault="00017E1B" w:rsidP="00017E1B">
      <w:pPr>
        <w:spacing w:before="120" w:after="240" w:line="240" w:lineRule="auto"/>
        <w:rPr>
          <w:rFonts w:ascii="Noto Sans" w:eastAsia="Times New Roman" w:hAnsi="Noto Sans" w:cs="Noto Sans"/>
          <w:sz w:val="22"/>
          <w:lang w:val="fr-FR"/>
        </w:rPr>
      </w:pPr>
      <w:r w:rsidRPr="00017E1B">
        <w:rPr>
          <w:rFonts w:ascii="Noto Sans" w:eastAsia="Times New Roman" w:hAnsi="Noto Sans" w:cs="Noto Sans"/>
          <w:sz w:val="22"/>
          <w:lang w:val="fr"/>
        </w:rPr>
        <w:t>La sérialisation peut également nécessiter une synchronisation des données en temps réel entre la fabrication chez le client et la production d'étiquettes afin d'éviter les rebuts ou les rappels, ainsi que la mise en place de processus de gestion des rejets.</w:t>
      </w:r>
    </w:p>
    <w:p w14:paraId="2E9A3E79" w14:textId="77777777" w:rsidR="00017E1B" w:rsidRPr="00017E1B" w:rsidRDefault="00017E1B" w:rsidP="00017E1B">
      <w:pPr>
        <w:spacing w:before="120" w:after="120" w:line="240" w:lineRule="auto"/>
        <w:rPr>
          <w:rFonts w:ascii="Noto Sans" w:eastAsia="Times New Roman" w:hAnsi="Noto Sans" w:cs="Noto Sans"/>
          <w:sz w:val="22"/>
          <w:lang w:val="fr-FR"/>
        </w:rPr>
      </w:pPr>
      <w:r w:rsidRPr="00017E1B">
        <w:rPr>
          <w:rFonts w:ascii="Noto Sans" w:eastAsia="Times New Roman" w:hAnsi="Noto Sans" w:cs="Noto Sans"/>
          <w:b/>
          <w:bCs/>
          <w:sz w:val="22"/>
          <w:lang w:val="fr"/>
        </w:rPr>
        <w:t xml:space="preserve">Garantir la qualité de lecture des codes QR </w:t>
      </w:r>
    </w:p>
    <w:p w14:paraId="6E5B6ADE" w14:textId="602C76C9" w:rsidR="00017E1B" w:rsidRPr="00017E1B" w:rsidRDefault="00017E1B" w:rsidP="00017E1B">
      <w:pPr>
        <w:spacing w:before="120" w:after="120" w:line="240" w:lineRule="auto"/>
        <w:rPr>
          <w:rFonts w:ascii="Noto Sans" w:eastAsia="Times New Roman" w:hAnsi="Noto Sans" w:cs="Noto Sans"/>
          <w:sz w:val="22"/>
          <w:lang w:val="fr-FR"/>
        </w:rPr>
      </w:pPr>
      <w:r w:rsidRPr="00017E1B">
        <w:rPr>
          <w:rFonts w:ascii="Noto Sans" w:eastAsia="Times New Roman" w:hAnsi="Noto Sans" w:cs="Noto Sans"/>
          <w:sz w:val="22"/>
          <w:lang w:val="fr"/>
        </w:rPr>
        <w:t xml:space="preserve">La qualité d'impression, la clarté et le contraste sont essentiels pour une lecture cohérente des </w:t>
      </w:r>
      <w:hyperlink r:id="rId9" w:history="1">
        <w:r w:rsidRPr="00017E1B">
          <w:rPr>
            <w:rStyle w:val="Hyperlink"/>
            <w:rFonts w:ascii="Noto Sans" w:eastAsia="Times New Roman" w:hAnsi="Noto Sans" w:cs="Noto Sans"/>
            <w:sz w:val="22"/>
            <w:lang w:val="fr"/>
          </w:rPr>
          <w:t xml:space="preserve">codes QR ou </w:t>
        </w:r>
        <w:proofErr w:type="spellStart"/>
        <w:r w:rsidRPr="00017E1B">
          <w:rPr>
            <w:rStyle w:val="Hyperlink"/>
            <w:rFonts w:ascii="Noto Sans" w:eastAsia="Times New Roman" w:hAnsi="Noto Sans" w:cs="Noto Sans"/>
            <w:sz w:val="22"/>
            <w:lang w:val="fr"/>
          </w:rPr>
          <w:t>DataMatrix</w:t>
        </w:r>
        <w:proofErr w:type="spellEnd"/>
        <w:r w:rsidRPr="00017E1B">
          <w:rPr>
            <w:rStyle w:val="Hyperlink"/>
            <w:rFonts w:ascii="Noto Sans" w:eastAsia="Times New Roman" w:hAnsi="Noto Sans" w:cs="Noto Sans"/>
            <w:sz w:val="22"/>
            <w:lang w:val="fr"/>
          </w:rPr>
          <w:t xml:space="preserve"> GS1</w:t>
        </w:r>
      </w:hyperlink>
      <w:r w:rsidRPr="00017E1B">
        <w:rPr>
          <w:rFonts w:ascii="Noto Sans" w:eastAsia="Times New Roman" w:hAnsi="Noto Sans" w:cs="Noto Sans"/>
          <w:sz w:val="22"/>
          <w:lang w:val="fr"/>
        </w:rPr>
        <w:t xml:space="preserve"> en conditions réelles. Parmi les problèmes potentiels à envisager figurent la distorsion liée à l'engraissement du point et à l'étalement de l'encre sur le substrat en flexographie et jet d'encre numérique, ainsi que les défauts d'adhérence, de séchage et de polymérisation de l'encre, autant de facteurs pouvant compromettre la durabilité du code.</w:t>
      </w:r>
    </w:p>
    <w:p w14:paraId="441FA85B" w14:textId="77777777" w:rsidR="00017E1B" w:rsidRPr="00017E1B" w:rsidRDefault="00017E1B" w:rsidP="00017E1B">
      <w:pPr>
        <w:spacing w:before="120" w:after="240" w:line="240" w:lineRule="auto"/>
        <w:rPr>
          <w:rFonts w:ascii="Noto Sans" w:eastAsia="Times New Roman" w:hAnsi="Noto Sans" w:cs="Noto Sans"/>
          <w:sz w:val="22"/>
          <w:lang w:val="fr-FR"/>
        </w:rPr>
      </w:pPr>
      <w:r w:rsidRPr="00017E1B">
        <w:rPr>
          <w:rFonts w:ascii="Noto Sans" w:eastAsia="Times New Roman" w:hAnsi="Noto Sans" w:cs="Noto Sans"/>
          <w:sz w:val="22"/>
          <w:lang w:val="fr"/>
        </w:rPr>
        <w:t xml:space="preserve">La couleur et la finition du substrat peuvent également affecter la lisibilité des codes 2D. Les </w:t>
      </w:r>
      <w:hyperlink r:id="rId10" w:history="1">
        <w:r w:rsidRPr="00017E1B">
          <w:rPr>
            <w:rFonts w:ascii="Noto Sans" w:eastAsia="Times New Roman" w:hAnsi="Noto Sans" w:cs="Noto Sans"/>
            <w:color w:val="0000EE"/>
            <w:sz w:val="22"/>
            <w:u w:val="single"/>
            <w:lang w:val="fr"/>
          </w:rPr>
          <w:t>substrats brillants ou réfléchissants</w:t>
        </w:r>
      </w:hyperlink>
      <w:r w:rsidRPr="00017E1B">
        <w:rPr>
          <w:rFonts w:ascii="Noto Sans" w:eastAsia="Times New Roman" w:hAnsi="Noto Sans" w:cs="Noto Sans"/>
          <w:sz w:val="22"/>
          <w:lang w:val="fr"/>
        </w:rPr>
        <w:t xml:space="preserve"> peuvent créer des reflets gênants, tandis que les fonds colorés risquent de réduire le contraste, compromettant ainsi la bonne lecture du code.</w:t>
      </w:r>
    </w:p>
    <w:p w14:paraId="0D8A7F82" w14:textId="77777777" w:rsidR="00017E1B" w:rsidRPr="00017E1B" w:rsidRDefault="00017E1B" w:rsidP="00017E1B">
      <w:pPr>
        <w:spacing w:before="120" w:after="120" w:line="240" w:lineRule="auto"/>
        <w:rPr>
          <w:rFonts w:ascii="Noto Sans" w:eastAsia="Times New Roman" w:hAnsi="Noto Sans" w:cs="Noto Sans"/>
          <w:sz w:val="22"/>
          <w:lang w:val="fr-FR"/>
        </w:rPr>
      </w:pPr>
      <w:r w:rsidRPr="00017E1B">
        <w:rPr>
          <w:rFonts w:ascii="Noto Sans" w:eastAsia="Times New Roman" w:hAnsi="Noto Sans" w:cs="Noto Sans"/>
          <w:sz w:val="22"/>
          <w:lang w:val="fr"/>
        </w:rPr>
        <w:t xml:space="preserve">Pour garantir une lecture optimale au point de vente, les transformateurs doivent contrôler les codes QR en cours d'impression et ainsi anticiper tout risque de défaut de lisibilité. Les systèmes de vision existants permettent de surveiller la qualité d'impression, mais assurer une lecture fiable quels que soient l'éclairage, la distance de capture et la vitesse de numérisation dans les environnements point de vente, chaîne logistique et consommateurs requiert une technologie plus avancée. </w:t>
      </w:r>
    </w:p>
    <w:p w14:paraId="154A468A" w14:textId="77777777" w:rsidR="00017E1B" w:rsidRPr="00017E1B" w:rsidRDefault="00017E1B" w:rsidP="00017E1B">
      <w:pPr>
        <w:spacing w:before="120" w:after="120" w:line="240" w:lineRule="auto"/>
        <w:rPr>
          <w:rFonts w:ascii="Noto Sans" w:eastAsia="Times New Roman" w:hAnsi="Noto Sans" w:cs="Noto Sans"/>
          <w:sz w:val="22"/>
          <w:lang w:val="fr-FR"/>
        </w:rPr>
      </w:pPr>
      <w:r w:rsidRPr="00017E1B">
        <w:rPr>
          <w:rFonts w:ascii="Noto Sans" w:eastAsia="Times New Roman" w:hAnsi="Noto Sans" w:cs="Noto Sans"/>
          <w:sz w:val="22"/>
          <w:lang w:val="fr"/>
        </w:rPr>
        <w:t xml:space="preserve">En évaluant la qualité des codes, les vérificateurs identifient les codes non conformes et s'assurent que les codes peuvent être lus de manière fiable par les différentes technologies de lecture. Bien que les systèmes de vision intègrent ou puissent être mis à niveau avec des capacités de vérification de codes, certains transformateurs devront investir dans un nouveau système de vision ou une nouvelle technologie de caméra. Pour maximiser le retour sur investissement, il est essentiel de considérer dès le départ la compatibilité avec vos équipements d'impression et flux de travail existants, la prise en charge logicielle des normes de vérification, l'accompagnement à l'intégration par les fournisseurs d'équipements, ainsi que la facilité d'utilisation du système et les besoins de formation associés. </w:t>
      </w:r>
    </w:p>
    <w:p w14:paraId="5D80EB55" w14:textId="77777777" w:rsidR="00017E1B" w:rsidRPr="00017E1B" w:rsidRDefault="00017E1B" w:rsidP="00017E1B">
      <w:pPr>
        <w:spacing w:before="120" w:after="120" w:line="240" w:lineRule="auto"/>
        <w:rPr>
          <w:rFonts w:ascii="Noto Sans" w:eastAsia="Times New Roman" w:hAnsi="Noto Sans" w:cs="Noto Sans"/>
          <w:sz w:val="22"/>
          <w:lang w:val="fr-FR"/>
        </w:rPr>
      </w:pPr>
      <w:r w:rsidRPr="00017E1B">
        <w:rPr>
          <w:rFonts w:ascii="Noto Sans" w:eastAsia="Times New Roman" w:hAnsi="Noto Sans" w:cs="Noto Sans"/>
          <w:b/>
          <w:bCs/>
          <w:sz w:val="22"/>
          <w:lang w:val="fr"/>
        </w:rPr>
        <w:t>Garantir la conformité aux normes de qualité</w:t>
      </w:r>
    </w:p>
    <w:p w14:paraId="35D0F57E" w14:textId="77777777" w:rsidR="00017E1B" w:rsidRPr="00017E1B" w:rsidRDefault="00017E1B" w:rsidP="00017E1B">
      <w:pPr>
        <w:spacing w:before="120" w:after="120" w:line="240" w:lineRule="auto"/>
        <w:rPr>
          <w:rFonts w:ascii="Noto Sans" w:eastAsia="Times New Roman" w:hAnsi="Noto Sans" w:cs="Noto Sans"/>
          <w:sz w:val="22"/>
          <w:lang w:val="fr-FR"/>
        </w:rPr>
      </w:pPr>
      <w:r w:rsidRPr="00017E1B">
        <w:rPr>
          <w:rFonts w:ascii="Noto Sans" w:eastAsia="Times New Roman" w:hAnsi="Noto Sans" w:cs="Noto Sans"/>
          <w:sz w:val="22"/>
          <w:lang w:val="fr"/>
        </w:rPr>
        <w:t xml:space="preserve">Contrairement aux codes QR de campagne non réglementés, les codes QR et </w:t>
      </w:r>
      <w:proofErr w:type="spellStart"/>
      <w:r w:rsidRPr="00017E1B">
        <w:rPr>
          <w:rFonts w:ascii="Noto Sans" w:eastAsia="Times New Roman" w:hAnsi="Noto Sans" w:cs="Noto Sans"/>
          <w:sz w:val="22"/>
          <w:lang w:val="fr"/>
        </w:rPr>
        <w:t>DataMatrix</w:t>
      </w:r>
      <w:proofErr w:type="spellEnd"/>
      <w:r w:rsidRPr="00017E1B">
        <w:rPr>
          <w:rFonts w:ascii="Noto Sans" w:eastAsia="Times New Roman" w:hAnsi="Noto Sans" w:cs="Noto Sans"/>
          <w:sz w:val="22"/>
          <w:lang w:val="fr"/>
        </w:rPr>
        <w:t xml:space="preserve"> GS1 doivent atteindre une </w:t>
      </w:r>
      <w:hyperlink r:id="rId11" w:history="1">
        <w:r w:rsidRPr="00017E1B">
          <w:rPr>
            <w:rFonts w:ascii="Noto Sans" w:eastAsia="Times New Roman" w:hAnsi="Noto Sans" w:cs="Noto Sans"/>
            <w:color w:val="0000EE"/>
            <w:sz w:val="22"/>
            <w:u w:val="single"/>
            <w:lang w:val="fr"/>
          </w:rPr>
          <w:t xml:space="preserve">note d'impression minimale de 1,5 selon la norme ISO/IEC </w:t>
        </w:r>
        <w:proofErr w:type="gramStart"/>
        <w:r w:rsidRPr="00017E1B">
          <w:rPr>
            <w:rFonts w:ascii="Noto Sans" w:eastAsia="Times New Roman" w:hAnsi="Noto Sans" w:cs="Noto Sans"/>
            <w:color w:val="0000EE"/>
            <w:sz w:val="22"/>
            <w:u w:val="single"/>
            <w:lang w:val="fr"/>
          </w:rPr>
          <w:t>15415:</w:t>
        </w:r>
        <w:proofErr w:type="gramEnd"/>
        <w:r w:rsidRPr="00017E1B">
          <w:rPr>
            <w:rFonts w:ascii="Noto Sans" w:eastAsia="Times New Roman" w:hAnsi="Noto Sans" w:cs="Noto Sans"/>
            <w:color w:val="0000EE"/>
            <w:sz w:val="22"/>
            <w:u w:val="single"/>
            <w:lang w:val="fr"/>
          </w:rPr>
          <w:t>2024</w:t>
        </w:r>
      </w:hyperlink>
      <w:r w:rsidRPr="00017E1B">
        <w:rPr>
          <w:rFonts w:ascii="Noto Sans" w:eastAsia="Times New Roman" w:hAnsi="Noto Sans" w:cs="Noto Sans"/>
          <w:sz w:val="22"/>
          <w:lang w:val="fr"/>
        </w:rPr>
        <w:t xml:space="preserve">, la norme internationale d'évaluation de la précision et de la lisibilité des codes 2D imprimés, afin de maintenir des taux de lecture élevés aux </w:t>
      </w:r>
      <w:r w:rsidRPr="00017E1B">
        <w:rPr>
          <w:rFonts w:ascii="Noto Sans" w:eastAsia="Times New Roman" w:hAnsi="Noto Sans" w:cs="Noto Sans"/>
          <w:sz w:val="22"/>
          <w:lang w:val="fr"/>
        </w:rPr>
        <w:lastRenderedPageBreak/>
        <w:t xml:space="preserve">caisses de la grande distribution. C'est en montrant leur conformité via des journaux de qualité, des rapports de vérification et des échantillons pour étayer les audits et satisfaire aux exigences réglementaires que les transformateurs parviennent à renforcer la confiance et rassurer les marques.  </w:t>
      </w:r>
    </w:p>
    <w:p w14:paraId="2C66C5E8" w14:textId="77777777" w:rsidR="00017E1B" w:rsidRPr="00017E1B" w:rsidRDefault="00017E1B" w:rsidP="00017E1B">
      <w:pPr>
        <w:spacing w:before="120" w:after="120" w:line="240" w:lineRule="auto"/>
        <w:rPr>
          <w:rFonts w:ascii="Noto Sans" w:eastAsia="Times New Roman" w:hAnsi="Noto Sans" w:cs="Noto Sans"/>
          <w:sz w:val="22"/>
          <w:lang w:val="fr-FR"/>
        </w:rPr>
      </w:pPr>
      <w:r w:rsidRPr="00017E1B">
        <w:rPr>
          <w:rFonts w:ascii="Noto Sans" w:eastAsia="Times New Roman" w:hAnsi="Noto Sans" w:cs="Noto Sans"/>
          <w:sz w:val="22"/>
          <w:lang w:val="fr"/>
        </w:rPr>
        <w:t>Les transformateurs doivent par ailleurs travailler en étroite collaboration avec les marques pour définir les paramètres et les responsabilités contractuelles liés à leur application de codes 2D. Cela peut notamment passer par la clarification des responsabilités en matière de génération de codes, l'attribution de la responsabilité en cas de doublons ou de dysfonctionnements, et l'établissement de protocoles d'audit et de vérification rigoureux. Une communication ouverte et continue aligne les transformateurs sur les exigences des marques et aide à anticiper les défis.</w:t>
      </w:r>
    </w:p>
    <w:p w14:paraId="7DC314AB" w14:textId="77777777" w:rsidR="00017E1B" w:rsidRPr="00017E1B" w:rsidRDefault="00017E1B" w:rsidP="00017E1B">
      <w:pPr>
        <w:spacing w:before="120" w:after="120" w:line="240" w:lineRule="auto"/>
        <w:rPr>
          <w:rFonts w:ascii="Noto Sans" w:eastAsia="Times New Roman" w:hAnsi="Noto Sans" w:cs="Noto Sans"/>
          <w:sz w:val="22"/>
          <w:lang w:val="fr-FR"/>
        </w:rPr>
      </w:pPr>
      <w:r w:rsidRPr="00017E1B">
        <w:rPr>
          <w:rFonts w:ascii="Noto Sans" w:eastAsia="Times New Roman" w:hAnsi="Noto Sans" w:cs="Noto Sans"/>
          <w:b/>
          <w:bCs/>
          <w:sz w:val="22"/>
          <w:lang w:val="fr"/>
        </w:rPr>
        <w:t>La communication, clé du succès</w:t>
      </w:r>
    </w:p>
    <w:p w14:paraId="3FFCD796" w14:textId="77777777" w:rsidR="00017E1B" w:rsidRPr="00017E1B" w:rsidRDefault="00017E1B" w:rsidP="00017E1B">
      <w:pPr>
        <w:spacing w:before="120" w:after="120" w:line="240" w:lineRule="auto"/>
        <w:rPr>
          <w:rFonts w:ascii="Noto Sans" w:eastAsia="Times New Roman" w:hAnsi="Noto Sans" w:cs="Noto Sans"/>
          <w:sz w:val="22"/>
          <w:lang w:val="fr-FR"/>
        </w:rPr>
      </w:pPr>
      <w:r w:rsidRPr="00017E1B">
        <w:rPr>
          <w:rFonts w:ascii="Noto Sans" w:eastAsia="Times New Roman" w:hAnsi="Noto Sans" w:cs="Noto Sans"/>
          <w:sz w:val="22"/>
          <w:lang w:val="fr"/>
        </w:rPr>
        <w:t xml:space="preserve">Alors que les marques accélèrent leurs stratégies en matière de codes 2D, la communication entre les transformateurs et les marques jouera un rôle important dans la clarification des responsabilités contractuelles et l'anticipation des problèmes potentiels. Une bonne compréhension, dès le départ, des applications et des projets futurs d'un client de marque aidera les transformateurs à se préparer et à investir dans la technologie requise. </w:t>
      </w:r>
    </w:p>
    <w:p w14:paraId="61E76BE2" w14:textId="6EB28199" w:rsidR="00017E1B" w:rsidRPr="00017E1B" w:rsidRDefault="00017E1B" w:rsidP="00017E1B">
      <w:pPr>
        <w:spacing w:before="120" w:after="120" w:line="240" w:lineRule="auto"/>
        <w:rPr>
          <w:rFonts w:ascii="Noto Sans" w:eastAsia="Times New Roman" w:hAnsi="Noto Sans" w:cs="Noto Sans"/>
          <w:sz w:val="22"/>
          <w:lang w:val="fr-FR"/>
        </w:rPr>
      </w:pPr>
      <w:r w:rsidRPr="00017E1B">
        <w:rPr>
          <w:rFonts w:ascii="Noto Sans" w:eastAsia="Times New Roman" w:hAnsi="Noto Sans" w:cs="Noto Sans"/>
          <w:sz w:val="22"/>
          <w:lang w:val="fr"/>
        </w:rPr>
        <w:t xml:space="preserve">Agir dès maintenant et s'associer à un fournisseur d'impression numérique </w:t>
      </w:r>
      <w:hyperlink r:id="rId12" w:history="1">
        <w:r w:rsidRPr="00017E1B">
          <w:rPr>
            <w:rFonts w:ascii="Noto Sans" w:eastAsia="Times New Roman" w:hAnsi="Noto Sans" w:cs="Noto Sans"/>
            <w:color w:val="0563C1" w:themeColor="hyperlink"/>
            <w:sz w:val="22"/>
            <w:u w:val="single"/>
            <w:lang w:val="fr"/>
          </w:rPr>
          <w:t xml:space="preserve">expert </w:t>
        </w:r>
        <w:r w:rsidRPr="00017E1B">
          <w:rPr>
            <w:rFonts w:ascii="Noto Sans" w:eastAsia="Times New Roman" w:hAnsi="Noto Sans" w:cs="Noto Sans"/>
            <w:color w:val="0563C1" w:themeColor="hyperlink"/>
            <w:sz w:val="22"/>
            <w:u w:val="single"/>
            <w:lang w:val="fr"/>
          </w:rPr>
          <w:t>en impression de données variables avancées</w:t>
        </w:r>
      </w:hyperlink>
      <w:r w:rsidRPr="00017E1B">
        <w:rPr>
          <w:rFonts w:ascii="Noto Sans" w:eastAsia="Times New Roman" w:hAnsi="Noto Sans" w:cs="Noto Sans"/>
          <w:sz w:val="22"/>
          <w:lang w:val="fr"/>
        </w:rPr>
        <w:t xml:space="preserve"> et à la pointe des nouvelles réglementations sur l'emballage permettra aux transformateurs de s'imposer comme le partenaire privilégié et le conseiller de confiance sur lequel les marques pourront s'appuyer pour réussir leur transition vers les codes 2D.</w:t>
      </w:r>
    </w:p>
    <w:p w14:paraId="0622A781" w14:textId="77777777" w:rsidR="00017E1B" w:rsidRPr="00017E1B" w:rsidRDefault="00017E1B" w:rsidP="00017E1B">
      <w:pPr>
        <w:spacing w:before="120" w:after="120" w:line="240" w:lineRule="auto"/>
        <w:rPr>
          <w:rFonts w:ascii="Noto Sans" w:eastAsia="Times New Roman" w:hAnsi="Noto Sans" w:cs="Noto Sans"/>
          <w:sz w:val="22"/>
          <w:lang w:val="fr-FR"/>
        </w:rPr>
      </w:pPr>
      <w:r w:rsidRPr="00017E1B">
        <w:rPr>
          <w:rFonts w:ascii="Noto Sans" w:eastAsia="Times New Roman" w:hAnsi="Noto Sans" w:cs="Noto Sans"/>
          <w:sz w:val="22"/>
          <w:lang w:val="fr"/>
        </w:rPr>
        <w:t>FIN</w:t>
      </w:r>
    </w:p>
    <w:p w14:paraId="42FFDE4F" w14:textId="738184CB" w:rsidR="003A1909" w:rsidRPr="00860ECF" w:rsidRDefault="00D66051" w:rsidP="003A1909">
      <w:pPr>
        <w:pStyle w:val="NoSpacing"/>
        <w:rPr>
          <w:rFonts w:ascii="Noto Sans" w:hAnsi="Noto Sans" w:cs="Noto Sans"/>
          <w:lang w:val="fr-FR"/>
        </w:rPr>
      </w:pPr>
      <w:r w:rsidRPr="003A1909">
        <w:rPr>
          <w:rFonts w:ascii="Noto Sans" w:eastAsia="Gill Sans" w:hAnsi="Noto Sans" w:cs="Noto Sans"/>
          <w:szCs w:val="18"/>
          <w:lang w:val="fr-FR"/>
        </w:rPr>
        <w:br/>
      </w:r>
      <w:r w:rsidRPr="003A1909">
        <w:rPr>
          <w:rFonts w:ascii="Noto Sans" w:eastAsia="Gill Sans" w:hAnsi="Noto Sans" w:cs="Noto Sans"/>
          <w:szCs w:val="18"/>
          <w:lang w:val="fr-FR"/>
        </w:rPr>
        <w:br/>
      </w:r>
      <w:bookmarkStart w:id="0" w:name="_Hlk46133219"/>
      <w:r w:rsidR="003A1909" w:rsidRPr="00860ECF">
        <w:rPr>
          <w:rFonts w:ascii="Noto Sans" w:eastAsia="Gill Sans" w:hAnsi="Noto Sans" w:cs="Noto Sans"/>
          <w:b/>
          <w:bCs/>
          <w:szCs w:val="18"/>
          <w:lang w:val="fr-FR"/>
        </w:rPr>
        <w:t>Avis de non-responsabilité</w:t>
      </w:r>
      <w:r w:rsidR="003A1909" w:rsidRPr="00860ECF">
        <w:rPr>
          <w:rFonts w:ascii="Noto Sans" w:eastAsia="Gill Sans" w:hAnsi="Noto Sans" w:cs="Noto Sans"/>
          <w:b/>
          <w:szCs w:val="18"/>
          <w:lang w:val="fr-FR"/>
        </w:rPr>
        <w:br/>
      </w:r>
      <w:r w:rsidR="003A1909" w:rsidRPr="00860ECF">
        <w:rPr>
          <w:rFonts w:ascii="Noto Sans" w:eastAsia="Gill Sans" w:hAnsi="Noto Sans" w:cs="Noto Sans"/>
          <w:szCs w:val="18"/>
          <w:lang w:val="fr-FR"/>
        </w:rPr>
        <w:br/>
      </w:r>
      <w:r w:rsidR="003A1909" w:rsidRPr="00860ECF">
        <w:rPr>
          <w:rFonts w:ascii="Noto Sans" w:hAnsi="Noto Sans" w:cs="Noto Sans"/>
          <w:b/>
          <w:bCs/>
          <w:szCs w:val="18"/>
          <w:lang w:val="fr-FR"/>
        </w:rPr>
        <w:t>Encres</w:t>
      </w:r>
      <w:r w:rsidR="003A1909" w:rsidRPr="00860ECF">
        <w:rPr>
          <w:rFonts w:ascii="Noto Sans" w:hAnsi="Noto Sans" w:cs="Noto Sans"/>
          <w:szCs w:val="18"/>
          <w:lang w:val="fr-FR"/>
        </w:rPr>
        <w:br/>
        <w:t xml:space="preserve">Les informations figurant aux présentes ne se substituent pas à la réalisation des essais nécessaires pour vérifier la bonne adéquation à votre utilisation et à vos circonstances particulières. Ni Domino UK Limited ni aucune autre société du groupe Domino ne sauraient être responsables dans le cas où vous vous êtes fiés aux informations du présent document quant à la convenance d’une encre à vos besoins particuliers. Le présent document ne fait pas partie des conditions générales entre vous-même et Domino. Les mentions légales v.1.0 de février 2018 et les conditions générales de vente de Domino, et plus particulièrement les garanties et responsabilités qui en relèvent, s’appliquent à tout achat de produit que vous réalisez. </w:t>
      </w:r>
      <w:r w:rsidR="003A1909" w:rsidRPr="00860ECF">
        <w:rPr>
          <w:rFonts w:ascii="Noto Sans" w:hAnsi="Noto Sans" w:cs="Noto Sans"/>
          <w:szCs w:val="18"/>
          <w:lang w:val="fr-FR"/>
        </w:rPr>
        <w:br/>
      </w:r>
      <w:r w:rsidR="003A1909" w:rsidRPr="00860ECF">
        <w:rPr>
          <w:rFonts w:ascii="Noto Sans" w:hAnsi="Noto Sans" w:cs="Noto Sans"/>
          <w:szCs w:val="18"/>
          <w:lang w:val="fr-FR"/>
        </w:rPr>
        <w:br/>
      </w:r>
      <w:r w:rsidR="003A1909" w:rsidRPr="00860ECF">
        <w:rPr>
          <w:rFonts w:ascii="Noto Sans" w:hAnsi="Noto Sans" w:cs="Noto Sans"/>
          <w:b/>
          <w:bCs/>
          <w:szCs w:val="18"/>
          <w:lang w:val="fr-FR"/>
        </w:rPr>
        <w:t>Généralités</w:t>
      </w:r>
      <w:r w:rsidR="003A1909" w:rsidRPr="00860ECF">
        <w:rPr>
          <w:rFonts w:ascii="Noto Sans" w:hAnsi="Noto Sans" w:cs="Noto Sans"/>
          <w:szCs w:val="18"/>
          <w:lang w:val="fr-FR"/>
        </w:rPr>
        <w:br/>
      </w:r>
      <w:r w:rsidR="00866525" w:rsidRPr="00866525">
        <w:rPr>
          <w:rFonts w:ascii="Noto Sans" w:hAnsi="Noto Sans" w:cs="Noto Sans"/>
          <w:szCs w:val="18"/>
          <w:lang w:val="fr-FR"/>
        </w:rPr>
        <w:t xml:space="preserve">Les informations contenues dans ce communiqué de presse sont considérées comme vraies et exactes à la date de publication par Domino. Des changements de circonstances après la date de publication peuvent avoir un impact sur l'exactitude des informations. </w:t>
      </w:r>
      <w:r w:rsidR="003A1909" w:rsidRPr="00860ECF">
        <w:rPr>
          <w:rFonts w:ascii="Noto Sans" w:hAnsi="Noto Sans" w:cs="Noto Sans"/>
          <w:szCs w:val="18"/>
          <w:lang w:val="fr-FR"/>
        </w:rPr>
        <w:t xml:space="preserve">Tous les chiffres et déclarations en matière de résultats </w:t>
      </w:r>
      <w:r w:rsidR="003A1909" w:rsidRPr="00860ECF">
        <w:rPr>
          <w:rFonts w:ascii="Noto Sans" w:hAnsi="Noto Sans" w:cs="Noto Sans"/>
          <w:szCs w:val="18"/>
          <w:lang w:val="fr-FR"/>
        </w:rPr>
        <w:lastRenderedPageBreak/>
        <w:t>indiqués dans les présentes ont été obtenus dans des conditions particulières et ne peuvent être reproduits que dans des circonstances similaires. Pour toutes informations sur un produit particulier, contactez votre Représentant Domino local.  Ce document n’est pas intégré aux conditions générales de vente entre vous-même et Domino.</w:t>
      </w:r>
      <w:r w:rsidR="003A1909" w:rsidRPr="00860ECF">
        <w:rPr>
          <w:rFonts w:ascii="Noto Sans" w:hAnsi="Noto Sans" w:cs="Noto Sans"/>
          <w:szCs w:val="18"/>
          <w:lang w:val="fr-FR"/>
        </w:rPr>
        <w:br/>
      </w:r>
      <w:r w:rsidR="003A1909" w:rsidRPr="00860ECF">
        <w:rPr>
          <w:rFonts w:ascii="Noto Sans" w:hAnsi="Noto Sans" w:cs="Noto Sans"/>
          <w:szCs w:val="18"/>
          <w:lang w:val="fr-FR"/>
        </w:rPr>
        <w:br/>
      </w:r>
      <w:r w:rsidR="003A1909" w:rsidRPr="00860ECF">
        <w:rPr>
          <w:rFonts w:ascii="Noto Sans" w:hAnsi="Noto Sans" w:cs="Noto Sans"/>
          <w:b/>
          <w:bCs/>
          <w:szCs w:val="18"/>
          <w:lang w:val="fr-FR"/>
        </w:rPr>
        <w:t>Images</w:t>
      </w:r>
      <w:r w:rsidR="003A1909" w:rsidRPr="00860ECF">
        <w:rPr>
          <w:rFonts w:ascii="Noto Sans" w:hAnsi="Noto Sans" w:cs="Noto Sans"/>
          <w:szCs w:val="18"/>
          <w:lang w:val="fr-FR"/>
        </w:rPr>
        <w:br/>
        <w:t xml:space="preserve">Les images peuvent inclure des éléments supplémentaires ou des mises à niveaux. La qualité d'impression peut varier en fonction des consommables, de l'imprimante, des substrats et d'autres facteurs. Les images et photographies ne font pas partie des conditions générales de vente entre vous-même et Domino. </w:t>
      </w:r>
      <w:r w:rsidR="003A1909" w:rsidRPr="00860ECF">
        <w:rPr>
          <w:rFonts w:ascii="Noto Sans" w:hAnsi="Noto Sans" w:cs="Noto Sans"/>
          <w:szCs w:val="18"/>
          <w:lang w:val="fr-FR"/>
        </w:rPr>
        <w:br/>
      </w:r>
      <w:r w:rsidR="003A1909" w:rsidRPr="00860ECF">
        <w:rPr>
          <w:rFonts w:ascii="Noto Sans" w:hAnsi="Noto Sans" w:cs="Noto Sans"/>
          <w:szCs w:val="18"/>
          <w:lang w:val="fr-FR"/>
        </w:rPr>
        <w:br/>
      </w:r>
      <w:r w:rsidR="003A1909" w:rsidRPr="00860ECF">
        <w:rPr>
          <w:rFonts w:ascii="Noto Sans" w:hAnsi="Noto Sans" w:cs="Noto Sans"/>
          <w:b/>
          <w:bCs/>
          <w:szCs w:val="18"/>
          <w:lang w:val="fr-FR"/>
        </w:rPr>
        <w:t>Vidéos</w:t>
      </w:r>
      <w:r w:rsidR="003A1909" w:rsidRPr="00860ECF">
        <w:rPr>
          <w:rFonts w:ascii="Noto Sans" w:hAnsi="Noto Sans" w:cs="Noto Sans"/>
          <w:szCs w:val="18"/>
          <w:lang w:val="fr-FR"/>
        </w:rPr>
        <w:br/>
        <w:t>Cette vidéo est fournie à des fins illustratives uniquement et peut inclure des options supplémentaires. Les chiffres relatifs à la performance peuvent être obtenus sous des conditions spécifiques ; les performances individuelles peuvent varier. Des erreurs et des temps d’arrêt peuvent survenir sur les chaînes de production. Rien dans la présente vidéo ne saurait faire partie d'un contrat entre vous et Domino.</w:t>
      </w:r>
      <w:r w:rsidR="003A1909" w:rsidRPr="00860ECF">
        <w:rPr>
          <w:rFonts w:ascii="Noto Sans" w:hAnsi="Noto Sans" w:cs="Noto Sans"/>
          <w:szCs w:val="18"/>
          <w:lang w:val="fr-FR"/>
        </w:rPr>
        <w:br/>
      </w:r>
      <w:r w:rsidR="003A1909" w:rsidRPr="00860ECF">
        <w:rPr>
          <w:rFonts w:ascii="Noto Sans" w:eastAsia="Gill Sans" w:hAnsi="Noto Sans" w:cs="Noto Sans"/>
          <w:szCs w:val="18"/>
          <w:lang w:val="fr-FR"/>
        </w:rPr>
        <w:br/>
      </w:r>
      <w:bookmarkStart w:id="1" w:name="_Hlk61949672"/>
      <w:r w:rsidR="003A1909" w:rsidRPr="00860ECF">
        <w:rPr>
          <w:rFonts w:ascii="Noto Sans" w:eastAsia="Gill Sans" w:hAnsi="Noto Sans" w:cs="Noto Sans"/>
          <w:b/>
          <w:szCs w:val="18"/>
          <w:lang w:val="fr-FR"/>
        </w:rPr>
        <w:br/>
      </w:r>
      <w:r w:rsidR="003A1909" w:rsidRPr="00860ECF">
        <w:rPr>
          <w:rFonts w:ascii="Noto Sans" w:eastAsia="Gill Sans" w:hAnsi="Noto Sans" w:cs="Noto Sans"/>
          <w:b/>
          <w:bCs/>
          <w:szCs w:val="18"/>
          <w:lang w:val="fr-FR"/>
        </w:rPr>
        <w:t>Notes à l'attention des rédacteurs :</w:t>
      </w:r>
      <w:r w:rsidR="003A1909" w:rsidRPr="00860ECF">
        <w:rPr>
          <w:rFonts w:ascii="Noto Sans" w:eastAsia="Gill Sans" w:hAnsi="Noto Sans" w:cs="Noto Sans"/>
          <w:b/>
          <w:szCs w:val="18"/>
          <w:lang w:val="fr-FR"/>
        </w:rPr>
        <w:br/>
      </w:r>
      <w:r w:rsidR="003A1909" w:rsidRPr="00860ECF">
        <w:rPr>
          <w:rFonts w:ascii="Noto Sans" w:eastAsia="Gill Sans" w:hAnsi="Noto Sans" w:cs="Noto Sans"/>
          <w:szCs w:val="18"/>
          <w:lang w:val="fr-FR"/>
        </w:rPr>
        <w:br/>
      </w:r>
      <w:r w:rsidR="003A1909" w:rsidRPr="00860ECF">
        <w:rPr>
          <w:rFonts w:ascii="Noto Sans" w:eastAsia="Gill Sans" w:hAnsi="Noto Sans" w:cs="Noto Sans"/>
          <w:b/>
          <w:bCs/>
          <w:szCs w:val="18"/>
          <w:lang w:val="fr-FR"/>
        </w:rPr>
        <w:t>À propos de Domino</w:t>
      </w:r>
      <w:r w:rsidR="003A1909" w:rsidRPr="00860ECF">
        <w:rPr>
          <w:rFonts w:ascii="Noto Sans" w:eastAsia="Gill Sans" w:hAnsi="Noto Sans" w:cs="Noto Sans"/>
          <w:b/>
          <w:szCs w:val="18"/>
          <w:lang w:val="fr-FR"/>
        </w:rPr>
        <w:br/>
      </w:r>
      <w:r w:rsidR="003A1909" w:rsidRPr="00860ECF">
        <w:rPr>
          <w:rFonts w:ascii="Noto Sans" w:eastAsia="Gill Sans" w:hAnsi="Noto Sans" w:cs="Noto Sans"/>
          <w:szCs w:val="18"/>
          <w:lang w:val="fr-FR"/>
        </w:rPr>
        <w:br/>
        <w:t>Digital Printing Solutions est une division de Domino Printing Sciences. Domino, fondée en 1978, s’est forgée une réputation internationale dans le développement et la fabrication de technologies d’impression jet d’encre numérique, ainsi que dans les produits complémentaires et le service à la clientèle. Ses services, destinés au secteur de l’impression commerciale, incluent des solutions d’impression jet d’encre numériques et des systèmes de contrôle conçus pour une gamme complète d’applications d’étiquetage et d’impression de données variables.</w:t>
      </w:r>
      <w:r w:rsidR="003A1909" w:rsidRPr="00860ECF">
        <w:rPr>
          <w:rFonts w:ascii="Noto Sans" w:eastAsia="Gill Sans" w:hAnsi="Noto Sans" w:cs="Noto Sans"/>
          <w:szCs w:val="18"/>
          <w:lang w:val="fr-FR"/>
        </w:rPr>
        <w:br/>
      </w:r>
      <w:r w:rsidR="003A1909" w:rsidRPr="00860ECF">
        <w:rPr>
          <w:rFonts w:ascii="Noto Sans" w:eastAsia="Gill Sans" w:hAnsi="Noto Sans" w:cs="Noto Sans"/>
          <w:szCs w:val="18"/>
          <w:lang w:val="fr-FR"/>
        </w:rPr>
        <w:br/>
        <w:t>Toutes les imprimantes Domino sont conçues pour répondre aux exigences de rapidité extrême et de haute qualité des environnements d’impression commerciale. Elles offrent de nouvelles fonctionnalités aux secteurs tels que l’étiquetage, les publications et l’impression de sécurité, l’impression transactionnelle, la transformation d’emballages, les cartes plastiques, les tickets, les cartes de jeux et les formulaires, ainsi que les secteurs du publipostage et de la distribution de courrier.</w:t>
      </w:r>
      <w:r w:rsidR="003A1909" w:rsidRPr="00860ECF">
        <w:rPr>
          <w:rFonts w:ascii="Noto Sans" w:eastAsia="Gill Sans" w:hAnsi="Noto Sans" w:cs="Noto Sans"/>
          <w:szCs w:val="18"/>
          <w:lang w:val="fr-FR"/>
        </w:rPr>
        <w:br/>
      </w:r>
      <w:r w:rsidR="003A1909" w:rsidRPr="00860ECF">
        <w:rPr>
          <w:rFonts w:ascii="Noto Sans" w:eastAsia="Gill Sans" w:hAnsi="Noto Sans" w:cs="Noto Sans"/>
          <w:szCs w:val="18"/>
          <w:lang w:val="fr-FR"/>
        </w:rPr>
        <w:br/>
        <w:t>Domino emploie plus de 3 000 personnes à travers le monde et ses produits sont vendus dans plus de 120 pays grâce à un réseau mondial de 29 filiales et de plus de 200 distributeurs. Domino possède des sites de production en Allemagne, en Chine, aux États-Unis, en Inde, au Royaume-Uni, en Suède et en Suisse.</w:t>
      </w:r>
      <w:r w:rsidR="003A1909" w:rsidRPr="00860ECF">
        <w:rPr>
          <w:rFonts w:ascii="Noto Sans" w:eastAsia="Gill Sans" w:hAnsi="Noto Sans" w:cs="Noto Sans"/>
          <w:szCs w:val="18"/>
          <w:lang w:val="fr-FR"/>
        </w:rPr>
        <w:br/>
      </w:r>
      <w:r w:rsidR="003A1909" w:rsidRPr="00860ECF">
        <w:rPr>
          <w:rFonts w:ascii="Noto Sans" w:eastAsia="Gill Sans" w:hAnsi="Noto Sans" w:cs="Noto Sans"/>
          <w:szCs w:val="18"/>
          <w:lang w:val="fr-FR"/>
        </w:rPr>
        <w:br/>
        <w:t xml:space="preserve">Depuis le 11 juin 2015, Domino est une division autonome de Brother Industries Ltd. </w:t>
      </w:r>
      <w:r w:rsidR="003A1909" w:rsidRPr="00860ECF">
        <w:rPr>
          <w:rFonts w:ascii="Noto Sans" w:eastAsia="Gill Sans" w:hAnsi="Noto Sans" w:cs="Noto Sans"/>
          <w:szCs w:val="18"/>
          <w:lang w:val="fr-FR"/>
        </w:rPr>
        <w:br/>
      </w:r>
      <w:r w:rsidR="003A1909" w:rsidRPr="00860ECF">
        <w:rPr>
          <w:rFonts w:ascii="Noto Sans" w:eastAsia="Gill Sans" w:hAnsi="Noto Sans" w:cs="Noto Sans"/>
          <w:szCs w:val="18"/>
          <w:lang w:val="fr-FR"/>
        </w:rPr>
        <w:br/>
        <w:t xml:space="preserve">Pour plus d'informations sur Domino, veuillez consulter </w:t>
      </w:r>
      <w:hyperlink r:id="rId13" w:history="1">
        <w:r w:rsidR="003A1909" w:rsidRPr="00860ECF">
          <w:rPr>
            <w:rStyle w:val="Hyperlink"/>
            <w:rFonts w:ascii="Noto Sans" w:eastAsia="Gill Sans" w:hAnsi="Noto Sans" w:cs="Noto Sans"/>
            <w:szCs w:val="18"/>
            <w:lang w:val="fr-FR"/>
          </w:rPr>
          <w:t>www.domino-printing.com</w:t>
        </w:r>
      </w:hyperlink>
      <w:r w:rsidR="003A1909" w:rsidRPr="00860ECF">
        <w:rPr>
          <w:rFonts w:ascii="Noto Sans" w:eastAsia="Gill Sans" w:hAnsi="Noto Sans" w:cs="Noto Sans"/>
          <w:szCs w:val="18"/>
          <w:lang w:val="fr-FR"/>
        </w:rPr>
        <w:t xml:space="preserve"> </w:t>
      </w:r>
      <w:r w:rsidR="003A1909" w:rsidRPr="00860ECF">
        <w:rPr>
          <w:rFonts w:ascii="Noto Sans" w:eastAsia="Gill Sans" w:hAnsi="Noto Sans" w:cs="Noto Sans"/>
          <w:szCs w:val="18"/>
          <w:lang w:val="fr-FR"/>
        </w:rPr>
        <w:br/>
      </w:r>
      <w:r w:rsidR="003A1909" w:rsidRPr="00860ECF">
        <w:rPr>
          <w:rFonts w:ascii="Noto Sans" w:eastAsia="Gill Sans" w:hAnsi="Noto Sans" w:cs="Noto Sans"/>
          <w:szCs w:val="18"/>
          <w:lang w:val="fr-FR"/>
        </w:rPr>
        <w:br/>
      </w:r>
      <w:r w:rsidR="003A1909" w:rsidRPr="00860ECF">
        <w:rPr>
          <w:rFonts w:ascii="Noto Sans" w:eastAsia="Gill Sans" w:hAnsi="Noto Sans" w:cs="Noto Sans"/>
          <w:b/>
          <w:bCs/>
          <w:szCs w:val="18"/>
          <w:lang w:val="fr-FR"/>
        </w:rPr>
        <w:t>Pour de plus amples renseignements, veuillez contacter :</w:t>
      </w:r>
      <w:r w:rsidR="003A1909" w:rsidRPr="00860ECF">
        <w:rPr>
          <w:rFonts w:ascii="Noto Sans" w:eastAsia="Gill Sans" w:hAnsi="Noto Sans" w:cs="Noto Sans"/>
          <w:b/>
          <w:szCs w:val="18"/>
          <w:lang w:val="fr-FR"/>
        </w:rPr>
        <w:br/>
      </w:r>
      <w:r w:rsidR="003A1909" w:rsidRPr="00860ECF">
        <w:rPr>
          <w:rFonts w:ascii="Noto Sans" w:eastAsia="Gill Sans" w:hAnsi="Noto Sans" w:cs="Noto Sans"/>
          <w:b/>
          <w:szCs w:val="18"/>
          <w:lang w:val="fr-FR"/>
        </w:rPr>
        <w:br/>
      </w:r>
      <w:bookmarkEnd w:id="0"/>
      <w:bookmarkEnd w:id="1"/>
      <w:r w:rsidR="003A1909" w:rsidRPr="00860ECF">
        <w:rPr>
          <w:rFonts w:ascii="Noto Sans" w:hAnsi="Noto Sans" w:cs="Noto Sans"/>
          <w:szCs w:val="18"/>
          <w:lang w:val="fr-FR"/>
        </w:rPr>
        <w:t>Kathrin Farr</w:t>
      </w:r>
      <w:r w:rsidR="003A1909" w:rsidRPr="00860ECF">
        <w:rPr>
          <w:rFonts w:ascii="Noto Sans" w:hAnsi="Noto Sans" w:cs="Noto Sans"/>
          <w:szCs w:val="18"/>
          <w:lang w:val="fr-FR"/>
        </w:rPr>
        <w:br/>
        <w:t>Responsable du contenu et rédacteur d'impression numérique</w:t>
      </w:r>
      <w:r w:rsidR="003A1909" w:rsidRPr="00860ECF">
        <w:rPr>
          <w:rFonts w:ascii="Noto Sans" w:hAnsi="Noto Sans" w:cs="Noto Sans"/>
          <w:szCs w:val="18"/>
          <w:lang w:val="fr-FR"/>
        </w:rPr>
        <w:br/>
        <w:t xml:space="preserve">Domino Printing Sciences </w:t>
      </w:r>
      <w:r w:rsidR="003A1909" w:rsidRPr="00860ECF">
        <w:rPr>
          <w:rFonts w:ascii="Noto Sans" w:hAnsi="Noto Sans" w:cs="Noto Sans"/>
          <w:szCs w:val="18"/>
          <w:lang w:val="fr-FR"/>
        </w:rPr>
        <w:br/>
        <w:t xml:space="preserve">Tél. : +44 (0) </w:t>
      </w:r>
      <w:hyperlink r:id="rId14" w:history="1">
        <w:r w:rsidR="003A1909" w:rsidRPr="00860ECF">
          <w:rPr>
            <w:rFonts w:ascii="Noto Sans" w:hAnsi="Noto Sans" w:cs="Noto Sans"/>
            <w:szCs w:val="18"/>
            <w:lang w:val="fr-FR"/>
          </w:rPr>
          <w:t>1954 782 551</w:t>
        </w:r>
      </w:hyperlink>
      <w:r w:rsidR="003A1909" w:rsidRPr="00860ECF">
        <w:rPr>
          <w:rFonts w:ascii="Noto Sans" w:hAnsi="Noto Sans" w:cs="Noto Sans"/>
          <w:szCs w:val="18"/>
          <w:lang w:val="fr-FR"/>
        </w:rPr>
        <w:br/>
      </w:r>
      <w:hyperlink r:id="rId15" w:history="1">
        <w:r w:rsidR="003A1909" w:rsidRPr="00860ECF">
          <w:rPr>
            <w:rStyle w:val="Hyperlink"/>
            <w:rFonts w:ascii="Noto Sans" w:hAnsi="Noto Sans" w:cs="Noto Sans"/>
            <w:szCs w:val="18"/>
            <w:lang w:val="fr-FR"/>
          </w:rPr>
          <w:t>Kathrin.Farr@domino-uk.com</w:t>
        </w:r>
      </w:hyperlink>
      <w:r w:rsidR="003A1909" w:rsidRPr="00860ECF">
        <w:rPr>
          <w:rFonts w:ascii="Noto Sans" w:hAnsi="Noto Sans" w:cs="Noto Sans"/>
          <w:szCs w:val="18"/>
          <w:lang w:val="fr-FR"/>
        </w:rPr>
        <w:t xml:space="preserve"> </w:t>
      </w:r>
      <w:r w:rsidR="003A1909" w:rsidRPr="00860ECF">
        <w:rPr>
          <w:rFonts w:ascii="Noto Sans" w:hAnsi="Noto Sans" w:cs="Noto Sans"/>
          <w:szCs w:val="18"/>
          <w:lang w:val="fr-FR"/>
        </w:rPr>
        <w:br/>
      </w:r>
      <w:r w:rsidR="003A1909" w:rsidRPr="00860ECF">
        <w:rPr>
          <w:rFonts w:ascii="Noto Sans" w:hAnsi="Noto Sans" w:cs="Noto Sans"/>
          <w:szCs w:val="18"/>
          <w:lang w:val="fr-FR"/>
        </w:rPr>
        <w:br/>
      </w:r>
      <w:r w:rsidR="00CB6991" w:rsidRPr="00CB6991">
        <w:rPr>
          <w:rFonts w:ascii="Noto Sans" w:hAnsi="Noto Sans" w:cs="Noto Sans"/>
          <w:szCs w:val="18"/>
          <w:lang w:val="fr-FR"/>
        </w:rPr>
        <w:lastRenderedPageBreak/>
        <w:t xml:space="preserve">Jade Taylor-Salazar </w:t>
      </w:r>
      <w:r w:rsidR="003A1909" w:rsidRPr="00860ECF">
        <w:rPr>
          <w:rFonts w:ascii="Noto Sans" w:hAnsi="Noto Sans" w:cs="Noto Sans"/>
          <w:szCs w:val="18"/>
          <w:lang w:val="fr-FR"/>
        </w:rPr>
        <w:br/>
        <w:t xml:space="preserve">Responsable des relations publiques </w:t>
      </w:r>
      <w:r w:rsidR="003A1909" w:rsidRPr="00860ECF">
        <w:rPr>
          <w:rFonts w:ascii="Noto Sans" w:hAnsi="Noto Sans" w:cs="Noto Sans"/>
          <w:szCs w:val="18"/>
          <w:lang w:val="fr-FR"/>
        </w:rPr>
        <w:br/>
      </w:r>
      <w:r w:rsidR="00CB6991" w:rsidRPr="00CB6991">
        <w:rPr>
          <w:rFonts w:ascii="Noto Sans" w:hAnsi="Noto Sans" w:cs="Noto Sans"/>
          <w:szCs w:val="18"/>
          <w:lang w:val="fr-FR"/>
        </w:rPr>
        <w:t xml:space="preserve">Domino Printing Sciences </w:t>
      </w:r>
      <w:r w:rsidR="00CB6991" w:rsidRPr="00CB6991">
        <w:rPr>
          <w:rFonts w:ascii="Noto Sans" w:hAnsi="Noto Sans" w:cs="Noto Sans"/>
          <w:szCs w:val="18"/>
          <w:lang w:val="fr-FR"/>
        </w:rPr>
        <w:br/>
      </w:r>
      <w:r w:rsidR="00CB6991" w:rsidRPr="00860ECF">
        <w:rPr>
          <w:rFonts w:ascii="Noto Sans" w:hAnsi="Noto Sans" w:cs="Noto Sans"/>
          <w:szCs w:val="18"/>
          <w:lang w:val="fr-FR"/>
        </w:rPr>
        <w:t>Tél</w:t>
      </w:r>
      <w:r w:rsidR="00CB6991">
        <w:rPr>
          <w:rFonts w:ascii="Noto Sans" w:hAnsi="Noto Sans" w:cs="Noto Sans"/>
          <w:szCs w:val="18"/>
          <w:lang w:val="fr-FR"/>
        </w:rPr>
        <w:t xml:space="preserve">. </w:t>
      </w:r>
      <w:r w:rsidR="00CB6991" w:rsidRPr="00CB6991">
        <w:rPr>
          <w:rFonts w:ascii="Noto Sans" w:hAnsi="Noto Sans" w:cs="Noto Sans"/>
          <w:szCs w:val="18"/>
          <w:lang w:val="fr-FR"/>
        </w:rPr>
        <w:t>: +44 (0) 1954 778780</w:t>
      </w:r>
      <w:r w:rsidR="00CB6991" w:rsidRPr="00CB6991">
        <w:rPr>
          <w:rFonts w:ascii="Noto Sans" w:hAnsi="Noto Sans" w:cs="Noto Sans"/>
          <w:szCs w:val="18"/>
          <w:lang w:val="fr-FR"/>
        </w:rPr>
        <w:br/>
      </w:r>
      <w:hyperlink r:id="rId16" w:history="1">
        <w:r w:rsidR="00CB6991" w:rsidRPr="00CB6991">
          <w:rPr>
            <w:rStyle w:val="Hyperlink"/>
            <w:rFonts w:ascii="Noto Sans" w:hAnsi="Noto Sans" w:cs="Noto Sans"/>
            <w:szCs w:val="18"/>
            <w:lang w:val="fr-FR"/>
          </w:rPr>
          <w:t>Jade.Taylor-Salazar@domino-uk.com</w:t>
        </w:r>
      </w:hyperlink>
      <w:r w:rsidR="003A1909" w:rsidRPr="00860ECF">
        <w:rPr>
          <w:rFonts w:ascii="Noto Sans" w:hAnsi="Noto Sans" w:cs="Noto Sans"/>
          <w:szCs w:val="18"/>
          <w:lang w:val="fr-FR"/>
        </w:rPr>
        <w:br/>
      </w:r>
      <w:r w:rsidR="003A1909" w:rsidRPr="00860ECF">
        <w:rPr>
          <w:rFonts w:ascii="Noto Sans" w:hAnsi="Noto Sans" w:cs="Noto Sans"/>
          <w:lang w:val="fr-FR"/>
        </w:rPr>
        <w:br/>
      </w:r>
      <w:r w:rsidR="00CD2F96" w:rsidRPr="00CD2F96">
        <w:rPr>
          <w:rFonts w:ascii="Noto Sans" w:hAnsi="Noto Sans" w:cs="Noto Sans"/>
          <w:szCs w:val="18"/>
          <w:lang w:val="fr-FR"/>
        </w:rPr>
        <w:br/>
      </w:r>
    </w:p>
    <w:sectPr w:rsidR="003A1909" w:rsidRPr="00860ECF" w:rsidSect="000F6D00">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655D1" w14:textId="77777777" w:rsidR="00620675" w:rsidRDefault="00620675" w:rsidP="00785717">
      <w:pPr>
        <w:spacing w:line="240" w:lineRule="auto"/>
      </w:pPr>
      <w:r>
        <w:separator/>
      </w:r>
    </w:p>
  </w:endnote>
  <w:endnote w:type="continuationSeparator" w:id="0">
    <w:p w14:paraId="02CFDD94" w14:textId="77777777" w:rsidR="00620675" w:rsidRDefault="00620675"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82FF" w:usb1="4000205F" w:usb2="08000029" w:usb3="00000000" w:csb0="0000019F" w:csb1="00000000"/>
  </w:font>
  <w:font w:name="Gill Sans">
    <w:panose1 w:val="00000000000000000000"/>
    <w:charset w:val="00"/>
    <w:family w:val="swiss"/>
    <w:notTrueType/>
    <w:pitch w:val="variable"/>
    <w:sig w:usb0="A00000AF" w:usb1="5000205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F64E9"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58455" w14:textId="77777777" w:rsidR="00785717" w:rsidRDefault="000F6D00" w:rsidP="00785717">
    <w:pPr>
      <w:pStyle w:val="Footer"/>
    </w:pPr>
    <w:r>
      <w:rPr>
        <w:noProof/>
      </w:rPr>
      <w:drawing>
        <wp:anchor distT="0" distB="0" distL="114300" distR="114300" simplePos="0" relativeHeight="251659264" behindDoc="0" locked="0" layoutInCell="1" allowOverlap="1" wp14:anchorId="16E66F78" wp14:editId="214F1CBF">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730E902B" wp14:editId="10BDB816">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50B02"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F82A0" w14:textId="77777777" w:rsidR="00620675" w:rsidRDefault="00620675" w:rsidP="00785717">
      <w:pPr>
        <w:spacing w:line="240" w:lineRule="auto"/>
      </w:pPr>
      <w:r>
        <w:separator/>
      </w:r>
    </w:p>
  </w:footnote>
  <w:footnote w:type="continuationSeparator" w:id="0">
    <w:p w14:paraId="245DFC4C" w14:textId="77777777" w:rsidR="00620675" w:rsidRDefault="00620675"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CD9DD"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A3B99" w14:textId="77777777" w:rsidR="000F6D00" w:rsidRDefault="002766D9">
    <w:pPr>
      <w:pStyle w:val="Header"/>
    </w:pPr>
    <w:r>
      <w:rPr>
        <w:noProof/>
      </w:rPr>
      <w:drawing>
        <wp:anchor distT="0" distB="0" distL="114300" distR="114300" simplePos="0" relativeHeight="251661312" behindDoc="0" locked="0" layoutInCell="1" allowOverlap="1" wp14:anchorId="5164AC61" wp14:editId="1E35F436">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33F34"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F96"/>
    <w:rsid w:val="00017E1B"/>
    <w:rsid w:val="0002201E"/>
    <w:rsid w:val="000754FF"/>
    <w:rsid w:val="000F6D00"/>
    <w:rsid w:val="001D743C"/>
    <w:rsid w:val="002202E3"/>
    <w:rsid w:val="00240801"/>
    <w:rsid w:val="002766D9"/>
    <w:rsid w:val="003038EA"/>
    <w:rsid w:val="00357D2C"/>
    <w:rsid w:val="00372E92"/>
    <w:rsid w:val="003A1909"/>
    <w:rsid w:val="003E5E49"/>
    <w:rsid w:val="005017CD"/>
    <w:rsid w:val="005272B1"/>
    <w:rsid w:val="005524DB"/>
    <w:rsid w:val="005741C7"/>
    <w:rsid w:val="005E6C45"/>
    <w:rsid w:val="00620675"/>
    <w:rsid w:val="00647055"/>
    <w:rsid w:val="00660F46"/>
    <w:rsid w:val="00785717"/>
    <w:rsid w:val="00791A4F"/>
    <w:rsid w:val="008220B7"/>
    <w:rsid w:val="00823B77"/>
    <w:rsid w:val="00866525"/>
    <w:rsid w:val="008916A8"/>
    <w:rsid w:val="008B6461"/>
    <w:rsid w:val="008E5E0C"/>
    <w:rsid w:val="008F3E38"/>
    <w:rsid w:val="00931996"/>
    <w:rsid w:val="009A1716"/>
    <w:rsid w:val="009A1DEC"/>
    <w:rsid w:val="009B3F01"/>
    <w:rsid w:val="009D6280"/>
    <w:rsid w:val="00A34918"/>
    <w:rsid w:val="00AB11DA"/>
    <w:rsid w:val="00B23C3C"/>
    <w:rsid w:val="00B546C5"/>
    <w:rsid w:val="00B7088D"/>
    <w:rsid w:val="00BC7C15"/>
    <w:rsid w:val="00BD57F7"/>
    <w:rsid w:val="00C063FE"/>
    <w:rsid w:val="00C44603"/>
    <w:rsid w:val="00C541FE"/>
    <w:rsid w:val="00CB6991"/>
    <w:rsid w:val="00CD2F96"/>
    <w:rsid w:val="00CF1AD5"/>
    <w:rsid w:val="00D66051"/>
    <w:rsid w:val="00D71CD4"/>
    <w:rsid w:val="00E03029"/>
    <w:rsid w:val="00EC1C5A"/>
    <w:rsid w:val="00F8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989CA0"/>
  <w15:chartTrackingRefBased/>
  <w15:docId w15:val="{5E41F93D-9905-4538-9DD9-C9D5B3158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mino-printing.com/en-gb/blog/2023/the-future-of-traceability-get-ready-for-the-digital-product-passport?noredirect=true&amp;utm_medium=non-paid&amp;utm_source=onlinepublication&amp;utm_content=pr-dp-2D-code-soundbite&amp;utm_campaign=2026-int-fr-Global-PR-DP-FY26-Q1" TargetMode="External"/><Relationship Id="rId13" Type="http://schemas.openxmlformats.org/officeDocument/2006/relationships/hyperlink" Target="http://www.domino-printing.com" TargetMode="External"/><Relationship Id="rId18"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header" Target="header3.xml"/><Relationship Id="rId7" Type="http://schemas.openxmlformats.org/officeDocument/2006/relationships/hyperlink" Target="https://www.gs1.org/industries/retail/2D-barcodes" TargetMode="External"/><Relationship Id="rId12" Type="http://schemas.openxmlformats.org/officeDocument/2006/relationships/hyperlink" Target="https://www.domino-printing.com/fr/home.aspx?utm_medium=non-paid&amp;utm_source=onlinepublication&amp;utm_content=pr-dp-2D-code-soundbite&amp;utm_campaign=2026-int-fr-Global-PR-DP-FY26-Q1"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mailto:Jade.Taylor-Salazar@domino-uk.com"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s://www.domino-printing.com/en/blog/2024/gs1-2d-code-sunrise-digital-qr-code-printing?noredirect=true&amp;utm_medium=non-paid&amp;utm_source=onlinepublication&amp;utm_content=pr-dp-2D-code-soundbite&amp;utm_campaign=2026-int-en-Global-PR-DP-FY26-Q1" TargetMode="External"/><Relationship Id="rId11" Type="http://schemas.openxmlformats.org/officeDocument/2006/relationships/hyperlink" Target="https://ref.gs1.org/docs/2025/GS1-2D-colour-guide-i10-f-25-02-10"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mailto:Kathrin.Farr@domino-uk.com" TargetMode="External"/><Relationship Id="rId23" Type="http://schemas.openxmlformats.org/officeDocument/2006/relationships/fontTable" Target="fontTable.xml"/><Relationship Id="rId10" Type="http://schemas.openxmlformats.org/officeDocument/2006/relationships/hyperlink" Target="https://ref.gs1.org/docs/2025/GS1-2D-colour-guide-i10-f-25-02-10"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domino-printing.com/fr/blog/2021/quelle-est-la-difference-entre-un-code-dm-et-un-qr-code?utm_medium=non-paid&amp;utm_source=onlinepublication&amp;utm_content=pr-dp-2D-code-soundbite&amp;utm_campaign=2026-int-fr-Global-PR-DP-FY26-Q1" TargetMode="External"/><Relationship Id="rId14" Type="http://schemas.openxmlformats.org/officeDocument/2006/relationships/hyperlink" Target="tel:+44%20(0)1954%20782%20551"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Disclaimer FR Template - AC</Template>
  <TotalTime>3</TotalTime>
  <Pages>5</Pages>
  <Words>1944</Words>
  <Characters>11086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 Farr</dc:creator>
  <cp:keywords/>
  <dc:description/>
  <cp:lastModifiedBy>Kathrin Farr</cp:lastModifiedBy>
  <cp:revision>2</cp:revision>
  <dcterms:created xsi:type="dcterms:W3CDTF">2026-05-28T09:24:00Z</dcterms:created>
  <dcterms:modified xsi:type="dcterms:W3CDTF">2026-05-28T09:24:00Z</dcterms:modified>
</cp:coreProperties>
</file>