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09E8" w14:textId="77777777" w:rsidR="003C0E68" w:rsidRPr="003C0E68" w:rsidRDefault="003C0E68" w:rsidP="003C0E68">
      <w:pPr>
        <w:rPr>
          <w:rFonts w:ascii="Noto Sans" w:hAnsi="Noto Sans" w:cs="Noto Sans"/>
          <w:b/>
          <w:bCs/>
          <w:sz w:val="24"/>
          <w:szCs w:val="24"/>
        </w:rPr>
      </w:pPr>
      <w:r w:rsidRPr="003C0E68">
        <w:rPr>
          <w:rFonts w:ascii="Noto Sans" w:hAnsi="Noto Sans" w:cs="Noto Sans"/>
          <w:b/>
          <w:bCs/>
          <w:sz w:val="24"/>
          <w:szCs w:val="24"/>
          <w:lang w:val="pt-PT"/>
        </w:rPr>
        <w:t xml:space="preserve">Iniciar o percurso com códigos 2D para reforçar a segurança alimentar </w:t>
      </w:r>
    </w:p>
    <w:p w14:paraId="105CEF56" w14:textId="72A1C3A0" w:rsidR="003C0E68" w:rsidRDefault="003C0E68" w:rsidP="00073DE1">
      <w:pPr>
        <w:rPr>
          <w:rFonts w:ascii="Noto Sans" w:hAnsi="Noto Sans" w:cs="Noto Sans"/>
          <w:i/>
          <w:iCs/>
          <w:sz w:val="22"/>
          <w:lang w:val="pt-PT"/>
        </w:rPr>
      </w:pPr>
      <w:r w:rsidRPr="003C0E68">
        <w:rPr>
          <w:rFonts w:ascii="Noto Sans" w:hAnsi="Noto Sans" w:cs="Noto Sans"/>
          <w:i/>
          <w:iCs/>
          <w:sz w:val="22"/>
          <w:lang w:val="pt-PT"/>
        </w:rPr>
        <w:t xml:space="preserve">A tendência global mostra que os retalhistas estão a acelerar a adoção dos códigos  2D baseados nos padrões da GS1. </w:t>
      </w:r>
      <w:r w:rsidRPr="003C0E68">
        <w:rPr>
          <w:rFonts w:ascii="Noto Sans" w:hAnsi="Noto Sans" w:cs="Noto Sans"/>
          <w:sz w:val="22"/>
          <w:lang w:val="pt-PT"/>
        </w:rPr>
        <w:t>Cada vez mais, as grandes marcas reconhecem a importância dos códigos 2D como parte essencial das embalagens interativas, da rastreabilidade alimentar otimizada e da confiança do consumidor consolidada.</w:t>
      </w:r>
      <w:r w:rsidRPr="003C0E68">
        <w:rPr>
          <w:rFonts w:ascii="Noto Sans" w:hAnsi="Noto Sans" w:cs="Noto Sans"/>
          <w:i/>
          <w:iCs/>
          <w:sz w:val="22"/>
          <w:lang w:val="pt-PT"/>
        </w:rPr>
        <w:t xml:space="preserve"> À medida que os fabricantes de produtos alimentares se aproximam de um ponto de viragem na aplicação, verificação e partilha de dados de produtos, Rachael Satchwell, Global Food Sector Manager da </w:t>
      </w:r>
      <w:hyperlink r:id="rId6" w:history="1">
        <w:r w:rsidRPr="00073DE1">
          <w:rPr>
            <w:rStyle w:val="Hyperlink"/>
            <w:rFonts w:ascii="Noto Sans" w:hAnsi="Noto Sans" w:cs="Noto Sans"/>
            <w:i/>
            <w:iCs/>
            <w:sz w:val="22"/>
            <w:lang w:val="pt-PT"/>
          </w:rPr>
          <w:t>Domino Printing Sciences</w:t>
        </w:r>
      </w:hyperlink>
      <w:r w:rsidRPr="003C0E68">
        <w:rPr>
          <w:rFonts w:ascii="Noto Sans" w:hAnsi="Noto Sans" w:cs="Noto Sans"/>
          <w:i/>
          <w:iCs/>
          <w:sz w:val="22"/>
          <w:lang w:val="pt-PT"/>
        </w:rPr>
        <w:t>, fornece um roteiro prático para apoiar uma implementação mais rápida, resultados de conformidade mais fortes e eficiências operacionais mensuráveis.</w:t>
      </w:r>
    </w:p>
    <w:p w14:paraId="74ABC08A" w14:textId="77777777" w:rsidR="003C0E68" w:rsidRPr="003C0E68" w:rsidRDefault="003C0E68" w:rsidP="003C0E68">
      <w:pPr>
        <w:jc w:val="both"/>
        <w:rPr>
          <w:rFonts w:ascii="Noto Sans" w:hAnsi="Noto Sans" w:cs="Noto Sans"/>
          <w:i/>
          <w:iCs/>
          <w:sz w:val="22"/>
        </w:rPr>
      </w:pPr>
    </w:p>
    <w:p w14:paraId="585678DA" w14:textId="77777777" w:rsidR="003C0E68" w:rsidRPr="003C0E68" w:rsidRDefault="003C0E68" w:rsidP="003C0E68">
      <w:pPr>
        <w:rPr>
          <w:rFonts w:ascii="Noto Sans" w:hAnsi="Noto Sans" w:cs="Noto Sans"/>
          <w:b/>
          <w:bCs/>
          <w:sz w:val="22"/>
        </w:rPr>
      </w:pPr>
      <w:r w:rsidRPr="003C0E68">
        <w:rPr>
          <w:rFonts w:ascii="Noto Sans" w:hAnsi="Noto Sans" w:cs="Noto Sans"/>
          <w:b/>
          <w:bCs/>
          <w:sz w:val="22"/>
          <w:lang w:val="pt-PT"/>
        </w:rPr>
        <w:t>Valor tangível dos códigos 2D</w:t>
      </w:r>
    </w:p>
    <w:p w14:paraId="08672F65"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Embora a dinâmica em torno dos códigos 2D seja inegável, um dos principais obstáculos à sua adoção precoce continua a ser a limitada sensibilização operacional. Não se trata apenas de um requisito imposto pelos retalhistas. Longe disso. Os códigos 2D são facilitadores da eficiência na produção, da segurança alimentar e da tomada de decisões baseada em dados. </w:t>
      </w:r>
    </w:p>
    <w:p w14:paraId="1BB88287" w14:textId="77777777" w:rsidR="003C0E68" w:rsidRPr="003C0E68" w:rsidRDefault="003C0E68" w:rsidP="003C0E68">
      <w:pPr>
        <w:rPr>
          <w:rFonts w:ascii="Noto Sans" w:hAnsi="Noto Sans" w:cs="Noto Sans"/>
          <w:sz w:val="22"/>
          <w:highlight w:val="yellow"/>
        </w:rPr>
      </w:pPr>
    </w:p>
    <w:p w14:paraId="7991F441" w14:textId="77777777" w:rsidR="003C0E68" w:rsidRPr="003C0E68" w:rsidRDefault="003C0E68" w:rsidP="003C0E68">
      <w:pPr>
        <w:rPr>
          <w:rFonts w:ascii="Noto Sans" w:hAnsi="Noto Sans" w:cs="Noto Sans"/>
          <w:sz w:val="22"/>
        </w:rPr>
      </w:pPr>
      <w:r w:rsidRPr="003C0E68">
        <w:rPr>
          <w:rFonts w:ascii="Noto Sans" w:hAnsi="Noto Sans" w:cs="Noto Sans"/>
          <w:sz w:val="22"/>
          <w:lang w:val="pt-PT"/>
        </w:rPr>
        <w:t>A utilização de códigos 2D nas cadeias de abastecimento alimentar ajuda a permitir a captura de informações ao nível do lote e do artigo, apoiando uma rastreabilidade alimentar superior. Os fabricantes podem identificar rapidamente os problemas com uma precisão muito superior e reduzir o âmbito, o custo e a perturbação das recolhas, bem como reforçar a conformidade com as normas de segurança alimentar na fábrica e noutros contextos. Para além disso, quando os dados dinâmicos são aplicados no ponto de fabrico, oferecem maior visibilidade sobre o prazo de validade, reforçando a rotação de stock e reduzindo o risco de produtos com prazos curtos ou expirados avançarem na cadeia de abastecimento.</w:t>
      </w:r>
    </w:p>
    <w:p w14:paraId="6F545526"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lastRenderedPageBreak/>
        <w:t>As embalagens interativas baseadas em códigos 2D podem reforçar a confiança do consumidor na marca com uma maior transparência em relação a alergénios, ingredientes, origem e sustentabilidade. A disponibilidade de dados de produtos em tempo real também permite uma cadeia de abastecimento alimentar mais reativa, permitindo que os fabricantes e retalhistas partilhem conhecimentos, coordenem melhor a produção e o reabastecimento e reduzam o desperdício. Quando estas vantagens são apresentadas de forma clara, contribuem para alinhar os objetivos das partes interessadas internas e dar suporte a um caso empresarial sólido e sustentado em evidências.</w:t>
      </w:r>
    </w:p>
    <w:p w14:paraId="576AD823" w14:textId="77777777" w:rsidR="003C0E68" w:rsidRPr="003C0E68" w:rsidRDefault="003C0E68" w:rsidP="003C0E68">
      <w:pPr>
        <w:rPr>
          <w:rFonts w:ascii="Noto Sans" w:hAnsi="Noto Sans" w:cs="Noto Sans"/>
          <w:sz w:val="22"/>
        </w:rPr>
      </w:pPr>
    </w:p>
    <w:p w14:paraId="1153969B" w14:textId="77777777" w:rsidR="003C0E68" w:rsidRPr="003C0E68" w:rsidRDefault="003C0E68" w:rsidP="003C0E68">
      <w:pPr>
        <w:rPr>
          <w:rFonts w:ascii="Noto Sans" w:hAnsi="Noto Sans" w:cs="Noto Sans"/>
          <w:b/>
          <w:bCs/>
          <w:sz w:val="22"/>
        </w:rPr>
      </w:pPr>
      <w:r w:rsidRPr="003C0E68">
        <w:rPr>
          <w:rFonts w:ascii="Noto Sans" w:hAnsi="Noto Sans" w:cs="Noto Sans"/>
          <w:b/>
          <w:bCs/>
          <w:sz w:val="22"/>
          <w:lang w:val="pt-PT"/>
        </w:rPr>
        <w:t>Os primeiros passos para a adoção de códigos 2D</w:t>
      </w:r>
    </w:p>
    <w:p w14:paraId="4EC57F44"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Para muitos fabricantes, o ponto de partida não é a tecnologia, mas a compreensão das implicações em ambientes de produção reais. A gestão equilibrada de equipamentos antigos, novas soluções de automatização e equipas operacionais no limite de capacidade requer um plano de migração prático, de baixo risco e alinhado com a realidade diária das atividades de produção. </w:t>
      </w:r>
    </w:p>
    <w:p w14:paraId="4E04D939" w14:textId="77777777" w:rsidR="003C0E68" w:rsidRPr="003C0E68" w:rsidRDefault="003C0E68" w:rsidP="003C0E68">
      <w:pPr>
        <w:rPr>
          <w:rFonts w:ascii="Noto Sans" w:hAnsi="Noto Sans" w:cs="Noto Sans"/>
          <w:sz w:val="22"/>
        </w:rPr>
      </w:pPr>
    </w:p>
    <w:p w14:paraId="09B02E12"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O objetivo é permitir que os fabricantes adotem os códigos 2D com confiança e com o mínimo de perturbações operacionais. Este processo deve começar com a criação de uma equipa funcional transversal para definir os objetivos da introdução de códigos 2D e determinar os requisitos de dados. A partir daí, é necessário avaliar as artes-finais de embalagem existentes para compreender o espaço, a posição e a legibilidade dos códigos 2D, bem como identificar as atualizações necessárias para cumprir as normas GS1 e as expetativas dos retalhistas.</w:t>
      </w:r>
    </w:p>
    <w:p w14:paraId="59D9D784" w14:textId="77777777" w:rsidR="003C0E68" w:rsidRPr="003C0E68" w:rsidRDefault="003C0E68" w:rsidP="003C0E68">
      <w:pPr>
        <w:rPr>
          <w:rFonts w:ascii="Noto Sans" w:hAnsi="Noto Sans" w:cs="Noto Sans"/>
          <w:sz w:val="22"/>
        </w:rPr>
      </w:pPr>
    </w:p>
    <w:p w14:paraId="46E41E43"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Os novos requisitos de arte-final também permitem avaliar a necessidade de atualização do equipamento de codificação e verificação existente. É importante reconhecer que os equipamentos antigos nem sempre representam um obstáculo à </w:t>
      </w:r>
      <w:r w:rsidRPr="003C0E68">
        <w:rPr>
          <w:rFonts w:ascii="Noto Sans" w:hAnsi="Noto Sans" w:cs="Noto Sans"/>
          <w:sz w:val="22"/>
          <w:lang w:val="pt-PT"/>
        </w:rPr>
        <w:lastRenderedPageBreak/>
        <w:t xml:space="preserve">adoção dos códigos 2D. Não há necessidade de grandes investimentos de capital ou de longos períodos de inatividade. O design modular dos codificadores, scanners e sistemas de visualização modernos significa que podem ser adaptados à maioria das linhas existentes com um trabalho mínimo de engenharia. </w:t>
      </w:r>
    </w:p>
    <w:p w14:paraId="1137245B" w14:textId="77777777" w:rsidR="003C0E68" w:rsidRPr="003C0E68" w:rsidRDefault="003C0E68" w:rsidP="003C0E68">
      <w:pPr>
        <w:rPr>
          <w:rFonts w:ascii="Noto Sans" w:hAnsi="Noto Sans" w:cs="Noto Sans"/>
          <w:sz w:val="22"/>
        </w:rPr>
      </w:pPr>
    </w:p>
    <w:p w14:paraId="3869D33F"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A introdução de códigos 2D cria novos tipos e fluxos de dados entre codificadores, câmaras, PLCs e sistemas de TI. Mapear a forma como a informação circula ao longo da linha ajuda a evitar estrangulamentos e a prevenir problemas de verificação a jusante.</w:t>
      </w:r>
    </w:p>
    <w:p w14:paraId="78A1D2D6" w14:textId="77777777" w:rsidR="003C0E68" w:rsidRPr="003C0E68" w:rsidRDefault="003C0E68" w:rsidP="003C0E68">
      <w:pPr>
        <w:rPr>
          <w:rFonts w:ascii="Noto Sans" w:hAnsi="Noto Sans" w:cs="Noto Sans"/>
          <w:sz w:val="22"/>
        </w:rPr>
      </w:pPr>
    </w:p>
    <w:p w14:paraId="4ED9E8BC" w14:textId="77777777" w:rsidR="003C0E68" w:rsidRPr="003C0E68" w:rsidRDefault="003C0E68" w:rsidP="003C0E68">
      <w:pPr>
        <w:rPr>
          <w:rFonts w:ascii="Noto Sans" w:hAnsi="Noto Sans" w:cs="Noto Sans"/>
          <w:b/>
          <w:bCs/>
          <w:sz w:val="22"/>
        </w:rPr>
      </w:pPr>
      <w:r w:rsidRPr="003C0E68">
        <w:rPr>
          <w:rFonts w:ascii="Noto Sans" w:hAnsi="Noto Sans" w:cs="Noto Sans"/>
          <w:b/>
          <w:bCs/>
          <w:sz w:val="22"/>
          <w:lang w:val="pt-PT"/>
        </w:rPr>
        <w:t xml:space="preserve">Verificação automatizada para melhorar a segurança e eficiência </w:t>
      </w:r>
    </w:p>
    <w:p w14:paraId="18C24DC4"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A verificação robusta é um aspeto fundamental para reforçar a segurança alimentar. Os sistemas de verificação automatizada na linha de produção combinam tecnologia de visualização baseada em câmaras com classificação de códigos em tempo real, assegurando que cada código 2D está presente, legível, corretamente estruturado e aplicado no produto certo. </w:t>
      </w:r>
    </w:p>
    <w:p w14:paraId="08987FCE" w14:textId="77777777" w:rsidR="003C0E68" w:rsidRPr="003C0E68" w:rsidRDefault="003C0E68" w:rsidP="003C0E68">
      <w:pPr>
        <w:rPr>
          <w:rFonts w:ascii="Noto Sans" w:hAnsi="Noto Sans" w:cs="Noto Sans"/>
          <w:sz w:val="22"/>
        </w:rPr>
      </w:pPr>
    </w:p>
    <w:p w14:paraId="712E0708" w14:textId="709EEC1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A verificação automatizada reduz a necessidade de verificações manuais, diminui o desperdício associado a códigos ilegíveis ou incorretos e evita a recolha de produtos devido a erros de codificação ou não conformidade. Também gera provas fiáveis de conformidade com as normas GS1, reforçando a segurança alimentar e fortalecendo a confiança em toda a cadeia de abastecimento. A etapa final consiste na auditoria da compatibilidade entre superfície e tinta/ribbon, para garantir códigos duráveis e de alta qualidade em todos os materiais e evitar paragens de linha relacionadas com a impressão. </w:t>
      </w:r>
    </w:p>
    <w:p w14:paraId="082E8EB4" w14:textId="77777777" w:rsidR="003C0E68" w:rsidRPr="003C0E68" w:rsidRDefault="003C0E68" w:rsidP="003C0E68">
      <w:pPr>
        <w:rPr>
          <w:rFonts w:ascii="Noto Sans" w:hAnsi="Noto Sans" w:cs="Noto Sans"/>
          <w:sz w:val="22"/>
        </w:rPr>
      </w:pPr>
    </w:p>
    <w:p w14:paraId="0DD0ABE8"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Em seguida, uma fase-piloto controlada permite às equipas otimizar toda a configuração antes da implementação em larga escala. Comece com uma ou duas </w:t>
      </w:r>
      <w:r w:rsidRPr="003C0E68">
        <w:rPr>
          <w:rFonts w:ascii="Noto Sans" w:hAnsi="Noto Sans" w:cs="Noto Sans"/>
          <w:sz w:val="22"/>
          <w:lang w:val="pt-PT"/>
        </w:rPr>
        <w:lastRenderedPageBreak/>
        <w:t>unidades de manutenção de stock de elevado impacto, como as que têm um prazo de validade mais curto ou que se destinam a mercados que já adotam embalagens interativas. Ajustar as velocidades da linha, as condições de iluminação, a lógica de rejeição e a integração do equipamento numa área de produção rigorosamente controlada pode gerar valor antecipado, bem como minimizar as perturbações. Um projeto-piloto bem-sucedido também reforça a justificação empresarial interna para uma implementação mais alargada, aproximando a organização de operações totalmente ligadas e preparadas para o futuro.</w:t>
      </w:r>
    </w:p>
    <w:p w14:paraId="1A40C7CA" w14:textId="77777777" w:rsidR="003C0E68" w:rsidRPr="003C0E68" w:rsidRDefault="003C0E68" w:rsidP="003C0E68">
      <w:pPr>
        <w:rPr>
          <w:rFonts w:ascii="Noto Sans" w:hAnsi="Noto Sans" w:cs="Noto Sans"/>
          <w:sz w:val="22"/>
        </w:rPr>
      </w:pPr>
    </w:p>
    <w:p w14:paraId="195F8946" w14:textId="77777777" w:rsidR="003C0E68" w:rsidRPr="003C0E68" w:rsidRDefault="003C0E68" w:rsidP="003C0E68">
      <w:pPr>
        <w:rPr>
          <w:rFonts w:ascii="Noto Sans" w:hAnsi="Noto Sans" w:cs="Noto Sans"/>
          <w:b/>
          <w:bCs/>
          <w:sz w:val="22"/>
        </w:rPr>
      </w:pPr>
      <w:r w:rsidRPr="003C0E68">
        <w:rPr>
          <w:rFonts w:ascii="Noto Sans" w:hAnsi="Noto Sans" w:cs="Noto Sans"/>
          <w:b/>
          <w:bCs/>
          <w:sz w:val="22"/>
          <w:lang w:val="pt-PT"/>
        </w:rPr>
        <w:t>O próximo capítulo dos códigos 2D na produção alimentar</w:t>
      </w:r>
    </w:p>
    <w:p w14:paraId="0121F96E"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A adoção de códigos 2D reflete uma mudança global muito mais ampla no sentido de cadeias de abastecimento alimentar mais transparentes e baseadas em dados. Está estreitamente alinhada com as expetativas crescentes dos consumidores, com a evolução dos requisitos dos retalhistas e com o impulso mais amplo para a digitalização e interoperabilidade dos dados de produtos. </w:t>
      </w:r>
    </w:p>
    <w:p w14:paraId="42CBA752" w14:textId="77777777" w:rsidR="003C0E68" w:rsidRPr="003C0E68" w:rsidRDefault="003C0E68" w:rsidP="003C0E68">
      <w:pPr>
        <w:rPr>
          <w:rFonts w:ascii="Noto Sans" w:hAnsi="Noto Sans" w:cs="Noto Sans"/>
          <w:sz w:val="22"/>
        </w:rPr>
      </w:pPr>
    </w:p>
    <w:p w14:paraId="0F6AB0E1" w14:textId="77777777" w:rsidR="003C0E68" w:rsidRDefault="003C0E68" w:rsidP="003C0E68">
      <w:pPr>
        <w:rPr>
          <w:rFonts w:ascii="Noto Sans" w:hAnsi="Noto Sans" w:cs="Noto Sans"/>
          <w:sz w:val="22"/>
          <w:lang w:val="pt-PT"/>
        </w:rPr>
      </w:pPr>
      <w:r w:rsidRPr="003C0E68">
        <w:rPr>
          <w:rFonts w:ascii="Noto Sans" w:hAnsi="Noto Sans" w:cs="Noto Sans"/>
          <w:sz w:val="22"/>
          <w:lang w:val="pt-PT"/>
        </w:rPr>
        <w:t xml:space="preserve">Não há necessidade de investir numa substituição de equipamento em larga escala. Comece por colmatar a atual lacuna de conhecimentos, concentrando-se em ganhos operacionais alcançáveis e integrando novas capacidades com os recursos existentes. O aumento da confiança e da clareza permite aos fabricantes de alimentos evoluir para uma produção alimentar mais inteligente e mais conectada. Os fabricantes que tomarem medidas práticas precoces ficarão bem posicionados para liderar a próxima geração da produção alimentar conectada do futuro. </w:t>
      </w:r>
    </w:p>
    <w:p w14:paraId="182078DE" w14:textId="77777777" w:rsidR="003C0E68" w:rsidRDefault="003C0E68" w:rsidP="003C0E68">
      <w:pPr>
        <w:rPr>
          <w:rFonts w:ascii="Noto Sans" w:hAnsi="Noto Sans" w:cs="Noto Sans"/>
          <w:sz w:val="22"/>
          <w:lang w:val="pt-PT"/>
        </w:rPr>
      </w:pPr>
    </w:p>
    <w:p w14:paraId="41099D85" w14:textId="3D1FAE37" w:rsidR="003C0E68" w:rsidRDefault="003C0E68" w:rsidP="003C0E68">
      <w:pPr>
        <w:rPr>
          <w:rFonts w:ascii="Noto Sans" w:hAnsi="Noto Sans" w:cs="Noto Sans"/>
          <w:sz w:val="22"/>
          <w:lang w:val="pt-PT"/>
        </w:rPr>
      </w:pPr>
      <w:r>
        <w:rPr>
          <w:rFonts w:ascii="Noto Sans" w:hAnsi="Noto Sans" w:cs="Noto Sans"/>
          <w:sz w:val="22"/>
          <w:lang w:val="pt-PT"/>
        </w:rPr>
        <w:t>&lt;</w:t>
      </w:r>
      <w:r w:rsidRPr="003C0E68">
        <w:rPr>
          <w:rFonts w:ascii="Noto Sans" w:hAnsi="Noto Sans" w:cs="Noto Sans"/>
          <w:b/>
          <w:bCs/>
          <w:sz w:val="22"/>
          <w:lang w:val="pt-PT"/>
        </w:rPr>
        <w:t>FIM</w:t>
      </w:r>
      <w:r>
        <w:rPr>
          <w:rFonts w:ascii="Noto Sans" w:hAnsi="Noto Sans" w:cs="Noto Sans"/>
          <w:sz w:val="22"/>
          <w:lang w:val="pt-PT"/>
        </w:rPr>
        <w:t>&gt;</w:t>
      </w:r>
    </w:p>
    <w:p w14:paraId="03A51EE5" w14:textId="77777777" w:rsidR="003C0E68" w:rsidRDefault="003C0E68" w:rsidP="003C0E68">
      <w:pPr>
        <w:rPr>
          <w:rFonts w:ascii="Noto Sans" w:hAnsi="Noto Sans" w:cs="Noto Sans"/>
          <w:b/>
          <w:bCs/>
          <w:sz w:val="20"/>
          <w:szCs w:val="20"/>
          <w:lang w:val="pt"/>
        </w:rPr>
      </w:pPr>
      <w:bookmarkStart w:id="0" w:name="_Hlk531088985"/>
    </w:p>
    <w:p w14:paraId="45CEEBE2" w14:textId="09BBC5EF" w:rsidR="003C0E68" w:rsidRPr="003C0E68" w:rsidRDefault="003C0E68" w:rsidP="003C0E68">
      <w:pPr>
        <w:rPr>
          <w:rFonts w:ascii="Noto Sans" w:hAnsi="Noto Sans" w:cs="Noto Sans"/>
          <w:sz w:val="22"/>
        </w:rPr>
      </w:pPr>
      <w:r w:rsidRPr="002856FD">
        <w:rPr>
          <w:rFonts w:ascii="Noto Sans" w:hAnsi="Noto Sans" w:cs="Noto Sans"/>
          <w:b/>
          <w:bCs/>
          <w:sz w:val="20"/>
          <w:szCs w:val="20"/>
          <w:lang w:val="pt"/>
        </w:rPr>
        <w:t>Isenção de responsabilidade</w:t>
      </w:r>
      <w:bookmarkEnd w:id="0"/>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lastRenderedPageBreak/>
        <w:t>Tintas</w:t>
      </w:r>
      <w:r w:rsidRPr="002856FD">
        <w:rPr>
          <w:rFonts w:ascii="Noto Sans" w:hAnsi="Noto Sans" w:cs="Noto Sans"/>
          <w:sz w:val="20"/>
          <w:szCs w:val="20"/>
          <w:lang w:val="pt"/>
        </w:rPr>
        <w:br/>
        <w:t xml:space="preserve">As informações que se encontram no presente documento não devem substituir a realização dos testes adequados às suas circunstâncias e usos específicos. A Domino Portugal – Tecnologias de Codificação, S.A. e as empresas do grupo Domino não serão, de forma alguma, responsáveis por qualquer tipo de confiança depositada neste documento em relação à adequação de qualquer uma das nossas tintas à sua aplicação em particular. O presente documento não faz parte de quaisquer termos e condições celebrados entre si e a Domino Portugal. Exclusões de responsabilidade v.1.0 Fevereiro 2018. Os Termos e Condições de venda da Domino, em particular as garantias e responsabilidades presentes nos mesmos, dever-se-ão aplicar a qualquer uma das suas compras de produtos.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Geral</w:t>
      </w:r>
      <w:r w:rsidRPr="002856FD">
        <w:rPr>
          <w:rFonts w:ascii="Noto Sans" w:hAnsi="Noto Sans" w:cs="Noto Sans"/>
          <w:sz w:val="20"/>
          <w:szCs w:val="20"/>
          <w:lang w:val="pt"/>
        </w:rPr>
        <w:br/>
        <w:t xml:space="preserve">As informações constantes no presente comunicado de imprensa são consideradas verdadeiras e corretas à data da publicação pela Domino. Qualquer alteração verificada após a data da publicação pode afetar a exatidão destas informações. Todos os valores em termos de desempenho e alegações citados no presente documento foram obtidos sob condições específicas e apenas poderão ser repetidos sob condições semelhantes. Para obter detalhes específicos do produto, deve entrar em contacto com o seu Account Manager da Domino Portugal. O presente documento não faz parte de quaisquer termos e condições celebrados entre si e a Domino Portugal.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Imagens</w:t>
      </w:r>
      <w:r w:rsidRPr="002856FD">
        <w:rPr>
          <w:rFonts w:ascii="Noto Sans" w:hAnsi="Noto Sans" w:cs="Noto Sans"/>
          <w:sz w:val="20"/>
          <w:szCs w:val="20"/>
          <w:lang w:val="pt"/>
        </w:rPr>
        <w:br/>
        <w:t xml:space="preserve">As imagens podem incluir melhorias ou extras opcionais. A qualidade de impressão pode variar de acordo com os consumíveis, o equipamento, a superfície e outros fatores. As imagens e fotografias não fazem parte de quaisquer termos e condições celebrados entre si e a Domino Portugal.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Vídeos</w:t>
      </w:r>
      <w:r w:rsidRPr="002856FD">
        <w:rPr>
          <w:rFonts w:ascii="Noto Sans" w:hAnsi="Noto Sans" w:cs="Noto Sans"/>
          <w:sz w:val="20"/>
          <w:szCs w:val="20"/>
          <w:lang w:val="pt"/>
        </w:rPr>
        <w:br/>
        <w:t xml:space="preserve">Este vídeo é apenas ilustrativo e pode incluir extras opcionais. Os valores relativos ao desempenho foram obtidos sob condições específicas; o desempenho individual pode variar. </w:t>
      </w:r>
      <w:r w:rsidRPr="002856FD">
        <w:rPr>
          <w:rFonts w:ascii="Noto Sans" w:hAnsi="Noto Sans" w:cs="Noto Sans"/>
          <w:sz w:val="20"/>
          <w:szCs w:val="20"/>
          <w:lang w:val="pt"/>
        </w:rPr>
        <w:lastRenderedPageBreak/>
        <w:t>Os erros e as paragens das linhas de produção podem ser inevitáveis. Nada do que se encontra neste vídeo faz parte de qualquer contrato celebrado entre si e a Domino Portugal.</w:t>
      </w:r>
      <w:r w:rsidRPr="002856FD">
        <w:rPr>
          <w:rFonts w:ascii="Noto Sans" w:eastAsia="Gill Sans" w:hAnsi="Noto Sans" w:cs="Noto Sans"/>
          <w:sz w:val="20"/>
          <w:szCs w:val="20"/>
          <w:lang w:val="es-ES"/>
        </w:rPr>
        <w:br/>
      </w:r>
      <w:r w:rsidRPr="002E0B38">
        <w:rPr>
          <w:rFonts w:ascii="Noto Sans" w:eastAsia="Gill Sans" w:hAnsi="Noto Sans" w:cs="Noto Sans"/>
          <w:b/>
          <w:sz w:val="20"/>
          <w:szCs w:val="20"/>
          <w:lang w:val="es-ES"/>
        </w:rPr>
        <w:br/>
      </w:r>
      <w:r w:rsidRPr="002E0B38">
        <w:rPr>
          <w:rFonts w:ascii="Noto Sans" w:eastAsia="Gill Sans" w:hAnsi="Noto Sans" w:cs="Noto Sans"/>
          <w:b/>
          <w:bCs/>
          <w:sz w:val="20"/>
          <w:szCs w:val="20"/>
          <w:lang w:val="pt-PT"/>
        </w:rPr>
        <w:t>Notas para os editores:</w:t>
      </w:r>
      <w:r w:rsidRPr="002E0B38">
        <w:rPr>
          <w:rFonts w:ascii="Noto Sans" w:eastAsia="Gill Sans" w:hAnsi="Noto Sans" w:cs="Noto Sans"/>
          <w:b/>
          <w:sz w:val="20"/>
          <w:szCs w:val="20"/>
          <w:lang w:val="es-ES"/>
        </w:rPr>
        <w:br/>
      </w:r>
      <w:r w:rsidRPr="002E0B38">
        <w:rPr>
          <w:rFonts w:ascii="Noto Sans" w:eastAsia="Gill Sans" w:hAnsi="Noto Sans" w:cs="Noto Sans"/>
          <w:sz w:val="20"/>
          <w:szCs w:val="20"/>
          <w:lang w:val="es-ES"/>
        </w:rPr>
        <w:br/>
      </w:r>
      <w:r w:rsidRPr="002856FD">
        <w:rPr>
          <w:rFonts w:ascii="Noto Sans" w:hAnsi="Noto Sans" w:cs="Noto Sans"/>
          <w:b/>
          <w:bCs/>
          <w:color w:val="000000" w:themeColor="text1"/>
          <w:sz w:val="20"/>
          <w:szCs w:val="20"/>
          <w:lang w:val="pt"/>
        </w:rPr>
        <w:t>Acerca da Domino</w:t>
      </w:r>
      <w:r>
        <w:rPr>
          <w:rFonts w:ascii="Noto Sans" w:hAnsi="Noto Sans" w:cs="Noto Sans"/>
          <w:b/>
          <w:bCs/>
          <w:color w:val="000000" w:themeColor="text1"/>
          <w:sz w:val="20"/>
          <w:szCs w:val="20"/>
          <w:lang w:val="pt"/>
        </w:rPr>
        <w:br/>
      </w:r>
      <w:r w:rsidRPr="002856FD">
        <w:rPr>
          <w:rFonts w:ascii="Noto Sans" w:hAnsi="Noto Sans" w:cs="Noto Sans"/>
          <w:sz w:val="20"/>
          <w:szCs w:val="20"/>
          <w:lang w:val="pt"/>
        </w:rPr>
        <w:t xml:space="preserve">Desde 1978, a Domino Printing Sciences (Domino) estabeleceu uma reputação global relativamente ao desenvolvimento e fabrico de tecnologias de codificação, marcação e impressão, revelando um idêntico prestígio nos seus produtos de pós-venda e de apoio ao cliente a nível mundial. Atualmente, a Domino oferece uma das mais abrangentes gamas de soluções de codificação, desenvolvidas com o objetivo de satisfazer os requisitos de conformidade e produtividade dos fabricantes em inúmeros setores, incluindo bebidas, produtos alimentares, farmacêuticos e industriais. As principais tecnologias da empresa incluem sistemas inovadores de impressão a jato de tinta, impressão a laser, impressão e aplicação, e impressão por transferência térmica desenvolvidos para a aplicação de dados variáveis, códigos de barras e códigos de rastreabilidade exclusivos em produtos e embalagens. </w:t>
      </w:r>
      <w:r w:rsidRPr="002856FD">
        <w:rPr>
          <w:rFonts w:ascii="Noto Sans" w:hAnsi="Noto Sans" w:cs="Noto Sans"/>
          <w:sz w:val="20"/>
          <w:szCs w:val="20"/>
          <w:lang w:val="pt"/>
        </w:rPr>
        <w:br/>
      </w:r>
      <w:r w:rsidRPr="002856FD">
        <w:rPr>
          <w:rFonts w:ascii="Noto Sans" w:hAnsi="Noto Sans" w:cs="Noto Sans"/>
          <w:sz w:val="20"/>
          <w:szCs w:val="20"/>
          <w:lang w:val="pt"/>
        </w:rPr>
        <w:br/>
        <w:t>A Domino emprega mais de 3 000 pessoas em todo o mundo e comercializa para mais de 120 países através de uma rede global de 29 filiais e mais de 200 distribuidores. As instalações de fabrico da Domino localizam-se na Alemanha, China, EUA, Índia, Reino Unido, Suécia e Suíça.</w:t>
      </w:r>
      <w:r w:rsidRPr="002856FD">
        <w:rPr>
          <w:rFonts w:ascii="Noto Sans" w:hAnsi="Noto Sans" w:cs="Noto Sans"/>
          <w:sz w:val="20"/>
          <w:szCs w:val="20"/>
          <w:lang w:val="pt"/>
        </w:rPr>
        <w:br/>
      </w:r>
      <w:r w:rsidRPr="002856FD">
        <w:rPr>
          <w:rFonts w:ascii="Noto Sans" w:hAnsi="Noto Sans" w:cs="Noto Sans"/>
          <w:sz w:val="20"/>
          <w:szCs w:val="20"/>
          <w:lang w:val="pt"/>
        </w:rPr>
        <w:br/>
        <w:t xml:space="preserve">A Domino tornou-se uma divisão independente da Brother Industries Ltd. a 11 de junho de 2015. </w:t>
      </w:r>
      <w:r w:rsidRPr="002856FD">
        <w:rPr>
          <w:rFonts w:ascii="Noto Sans" w:hAnsi="Noto Sans" w:cs="Noto Sans"/>
          <w:sz w:val="20"/>
          <w:szCs w:val="20"/>
          <w:lang w:val="pt"/>
        </w:rPr>
        <w:br/>
      </w:r>
      <w:r w:rsidRPr="002856FD">
        <w:rPr>
          <w:rFonts w:ascii="Noto Sans" w:hAnsi="Noto Sans" w:cs="Noto Sans"/>
          <w:sz w:val="20"/>
          <w:szCs w:val="20"/>
          <w:lang w:val="pt"/>
        </w:rPr>
        <w:br/>
        <w:t>Para obter mais informações sobre a Domino,</w:t>
      </w:r>
      <w:r w:rsidRPr="002856FD">
        <w:rPr>
          <w:rFonts w:ascii="Noto Sans" w:hAnsi="Noto Sans" w:cs="Noto Sans"/>
          <w:sz w:val="20"/>
          <w:szCs w:val="20"/>
          <w:lang w:val="pt"/>
        </w:rPr>
        <w:br/>
        <w:t xml:space="preserve">visite </w:t>
      </w:r>
      <w:hyperlink r:id="rId7" w:history="1">
        <w:r w:rsidRPr="002856FD">
          <w:rPr>
            <w:rStyle w:val="Hyperlink"/>
            <w:rFonts w:ascii="Noto Sans" w:hAnsi="Noto Sans" w:cs="Noto Sans"/>
            <w:sz w:val="20"/>
            <w:szCs w:val="20"/>
            <w:lang w:val="pt"/>
          </w:rPr>
          <w:t>www.domino-printing.com</w:t>
        </w:r>
      </w:hyperlink>
      <w:r w:rsidRPr="002856FD">
        <w:rPr>
          <w:rFonts w:ascii="Noto Sans" w:hAnsi="Noto Sans" w:cs="Noto Sans"/>
          <w:sz w:val="20"/>
          <w:szCs w:val="20"/>
          <w:lang w:val="pt"/>
        </w:rPr>
        <w:t xml:space="preserve">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Deverá contactar:</w:t>
      </w:r>
      <w:r w:rsidRPr="002856FD">
        <w:rPr>
          <w:rFonts w:ascii="Noto Sans" w:hAnsi="Noto Sans" w:cs="Noto Sans"/>
          <w:sz w:val="20"/>
          <w:szCs w:val="20"/>
          <w:lang w:val="pt"/>
        </w:rPr>
        <w:br/>
      </w:r>
      <w:r w:rsidRPr="002856FD">
        <w:rPr>
          <w:rFonts w:ascii="Noto Sans" w:hAnsi="Noto Sans" w:cs="Noto Sans"/>
          <w:sz w:val="20"/>
          <w:szCs w:val="20"/>
          <w:lang w:val="pt"/>
        </w:rPr>
        <w:br/>
      </w:r>
      <w:r w:rsidRPr="0085521E">
        <w:rPr>
          <w:rFonts w:ascii="Noto Sans" w:hAnsi="Noto Sans" w:cs="Noto Sans"/>
          <w:sz w:val="20"/>
          <w:szCs w:val="20"/>
          <w:lang w:val="pt"/>
        </w:rPr>
        <w:t>Jade Taylor-Salazar</w:t>
      </w:r>
      <w:r>
        <w:rPr>
          <w:rFonts w:ascii="Noto Sans" w:hAnsi="Noto Sans" w:cs="Noto Sans"/>
          <w:sz w:val="20"/>
          <w:szCs w:val="20"/>
          <w:lang w:val="pt"/>
        </w:rPr>
        <w:br/>
      </w:r>
      <w:r w:rsidRPr="002856FD">
        <w:rPr>
          <w:rFonts w:ascii="Noto Sans" w:hAnsi="Noto Sans" w:cs="Noto Sans"/>
          <w:sz w:val="20"/>
          <w:szCs w:val="20"/>
          <w:lang w:val="pt"/>
        </w:rPr>
        <w:lastRenderedPageBreak/>
        <w:t xml:space="preserve">PR and Content Manager </w:t>
      </w:r>
      <w:r w:rsidRPr="002856FD">
        <w:rPr>
          <w:rFonts w:ascii="Noto Sans" w:hAnsi="Noto Sans" w:cs="Noto Sans"/>
          <w:sz w:val="20"/>
          <w:szCs w:val="20"/>
          <w:lang w:val="pt"/>
        </w:rPr>
        <w:br/>
        <w:t xml:space="preserve">Domino Printing Sciences </w:t>
      </w:r>
      <w:r w:rsidRPr="002856FD">
        <w:rPr>
          <w:rFonts w:ascii="Noto Sans" w:hAnsi="Noto Sans" w:cs="Noto Sans"/>
          <w:sz w:val="20"/>
          <w:szCs w:val="20"/>
          <w:lang w:val="pt"/>
        </w:rPr>
        <w:br/>
        <w:t>Tel.: +44 (0) 1954 778 780</w:t>
      </w:r>
      <w:r w:rsidRPr="002856FD">
        <w:rPr>
          <w:rFonts w:ascii="Noto Sans" w:hAnsi="Noto Sans" w:cs="Noto Sans"/>
          <w:sz w:val="20"/>
          <w:szCs w:val="20"/>
          <w:lang w:val="pt"/>
        </w:rPr>
        <w:br/>
      </w:r>
      <w:hyperlink r:id="rId8" w:history="1">
        <w:r w:rsidRPr="0085521E">
          <w:rPr>
            <w:rStyle w:val="Hyperlink"/>
            <w:rFonts w:ascii="Noto Sans" w:hAnsi="Noto Sans" w:cs="Noto Sans"/>
            <w:sz w:val="20"/>
            <w:szCs w:val="20"/>
            <w:lang w:val="pt"/>
          </w:rPr>
          <w:t>Jade.Taylor-Salazar@domino-uk.com</w:t>
        </w:r>
      </w:hyperlink>
      <w:r w:rsidRPr="0085521E">
        <w:rPr>
          <w:rFonts w:ascii="Noto Sans" w:hAnsi="Noto Sans" w:cs="Noto Sans"/>
          <w:sz w:val="20"/>
          <w:szCs w:val="20"/>
          <w:lang w:val="pt"/>
        </w:rPr>
        <w:t xml:space="preserve"> </w:t>
      </w:r>
      <w:r>
        <w:rPr>
          <w:rFonts w:ascii="Noto Sans" w:hAnsi="Noto Sans" w:cs="Noto Sans"/>
          <w:sz w:val="20"/>
          <w:szCs w:val="20"/>
          <w:lang w:val="pt"/>
        </w:rPr>
        <w:br/>
      </w:r>
      <w:r>
        <w:rPr>
          <w:rFonts w:ascii="Noto Sans" w:hAnsi="Noto Sans" w:cs="Noto Sans"/>
          <w:sz w:val="20"/>
          <w:szCs w:val="20"/>
          <w:lang w:val="pt"/>
        </w:rPr>
        <w:br/>
      </w:r>
      <w:r w:rsidRPr="00A13A74">
        <w:rPr>
          <w:rFonts w:ascii="Noto Sans" w:eastAsiaTheme="minorHAnsi" w:hAnsi="Noto Sans" w:cs="Noto Sans"/>
          <w:sz w:val="20"/>
          <w:szCs w:val="20"/>
          <w:lang w:val="pt-PT"/>
        </w:rPr>
        <w:t>Daniela Ribeiro</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Marketing and Communications Executive</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Domino Portugal</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Tel.: +351 919866148</w:t>
      </w:r>
      <w:r>
        <w:rPr>
          <w:rFonts w:ascii="Noto Sans" w:eastAsiaTheme="minorHAnsi" w:hAnsi="Noto Sans" w:cs="Noto Sans"/>
          <w:sz w:val="20"/>
          <w:szCs w:val="20"/>
          <w:lang w:val="pt-PT"/>
        </w:rPr>
        <w:br/>
      </w:r>
      <w:hyperlink r:id="rId9" w:history="1">
        <w:r w:rsidRPr="00A13A74">
          <w:rPr>
            <w:rStyle w:val="Hyperlink"/>
            <w:rFonts w:ascii="Noto Sans" w:eastAsiaTheme="minorHAnsi" w:hAnsi="Noto Sans" w:cs="Noto Sans"/>
            <w:sz w:val="20"/>
            <w:szCs w:val="20"/>
            <w:lang w:val="pt-PT"/>
          </w:rPr>
          <w:t>Daniela.Ribeiro@domino-portugal.com</w:t>
        </w:r>
      </w:hyperlink>
    </w:p>
    <w:p w14:paraId="53EB7C38" w14:textId="77777777" w:rsidR="005524DB" w:rsidRPr="008E7573" w:rsidRDefault="005524DB" w:rsidP="008E7573"/>
    <w:sectPr w:rsidR="005524DB" w:rsidRPr="008E7573" w:rsidSect="000F6D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E8F4" w14:textId="77777777" w:rsidR="00636B22" w:rsidRDefault="00636B22" w:rsidP="00785717">
      <w:pPr>
        <w:spacing w:line="240" w:lineRule="auto"/>
      </w:pPr>
      <w:r>
        <w:separator/>
      </w:r>
    </w:p>
  </w:endnote>
  <w:endnote w:type="continuationSeparator" w:id="0">
    <w:p w14:paraId="0812417E" w14:textId="77777777" w:rsidR="00636B22" w:rsidRDefault="00636B22"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9D663" w14:textId="77777777" w:rsidR="00636B22" w:rsidRDefault="00636B22" w:rsidP="00785717">
      <w:pPr>
        <w:spacing w:line="240" w:lineRule="auto"/>
      </w:pPr>
      <w:r>
        <w:separator/>
      </w:r>
    </w:p>
  </w:footnote>
  <w:footnote w:type="continuationSeparator" w:id="0">
    <w:p w14:paraId="537439FD" w14:textId="77777777" w:rsidR="00636B22" w:rsidRDefault="00636B22"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73DE1"/>
    <w:rsid w:val="000F6D00"/>
    <w:rsid w:val="00113106"/>
    <w:rsid w:val="001D743C"/>
    <w:rsid w:val="002766D9"/>
    <w:rsid w:val="002C3337"/>
    <w:rsid w:val="00372E92"/>
    <w:rsid w:val="003C0E68"/>
    <w:rsid w:val="005272B1"/>
    <w:rsid w:val="005524DB"/>
    <w:rsid w:val="005741C7"/>
    <w:rsid w:val="0060122E"/>
    <w:rsid w:val="00636B22"/>
    <w:rsid w:val="00647055"/>
    <w:rsid w:val="00660F46"/>
    <w:rsid w:val="00682566"/>
    <w:rsid w:val="00785717"/>
    <w:rsid w:val="008220B7"/>
    <w:rsid w:val="00823B77"/>
    <w:rsid w:val="008916A8"/>
    <w:rsid w:val="008B6461"/>
    <w:rsid w:val="008E7573"/>
    <w:rsid w:val="008F3E38"/>
    <w:rsid w:val="008F74D8"/>
    <w:rsid w:val="00931996"/>
    <w:rsid w:val="00943A95"/>
    <w:rsid w:val="00954714"/>
    <w:rsid w:val="009A1716"/>
    <w:rsid w:val="009A1DEC"/>
    <w:rsid w:val="009D6280"/>
    <w:rsid w:val="009E564D"/>
    <w:rsid w:val="00A34918"/>
    <w:rsid w:val="00AB11DA"/>
    <w:rsid w:val="00B23C3C"/>
    <w:rsid w:val="00B546C5"/>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de.Taylor-Salazar@domino-uk.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domino-printing.p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pt-pt/home.aspx?utm_medium=non-paid&amp;utm_source=onlinepublication&amp;utm_content=starting-the-2d-code-journey-sb-pt&amp;utm_campaign=2026-int-pt-global-pr-cm-fy25-q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niela.Ribeiro@domino-portuga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2</TotalTime>
  <Pages>7</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2026-05-29T14:48:00Z</dcterms:created>
  <dcterms:modified xsi:type="dcterms:W3CDTF">2026-05-29T14:48:00Z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