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FF14F9" w14:textId="77777777" w:rsidR="00BF4B36" w:rsidRPr="00BF4B36" w:rsidRDefault="00BF4B36" w:rsidP="00BF4B36">
      <w:pPr>
        <w:spacing w:line="240" w:lineRule="auto"/>
        <w:rPr>
          <w:rFonts w:ascii="Noto Sans" w:eastAsiaTheme="minorHAnsi" w:hAnsi="Noto Sans" w:cs="Noto Sans"/>
          <w:b/>
          <w:bCs/>
          <w:sz w:val="28"/>
          <w:szCs w:val="28"/>
        </w:rPr>
      </w:pPr>
      <w:r w:rsidRPr="00BF4B36">
        <w:rPr>
          <w:rFonts w:ascii="Noto Sans" w:hAnsi="Noto Sans" w:cs="Noto Sans"/>
          <w:b/>
          <w:bCs/>
          <w:sz w:val="28"/>
          <w:szCs w:val="28"/>
          <w:lang w:val="es-ES"/>
        </w:rPr>
        <w:t xml:space="preserve">Primeros pasos con los códigos 2D para reforzar la seguridad alimentaria </w:t>
      </w:r>
    </w:p>
    <w:p w14:paraId="76210DEF" w14:textId="77777777" w:rsidR="009D24E2" w:rsidRDefault="009D24E2" w:rsidP="00BF4B36">
      <w:pPr>
        <w:rPr>
          <w:rFonts w:ascii="Noto Sans" w:hAnsi="Noto Sans" w:cs="Noto Sans"/>
          <w:i/>
          <w:iCs/>
          <w:sz w:val="22"/>
          <w:lang w:val="es-ES"/>
        </w:rPr>
      </w:pPr>
    </w:p>
    <w:p w14:paraId="75D44B4D" w14:textId="0EBA119A" w:rsidR="00BF4B36" w:rsidRPr="0039066B" w:rsidRDefault="00BF4B36" w:rsidP="00BF4B36">
      <w:pPr>
        <w:rPr>
          <w:rFonts w:ascii="Noto Sans" w:hAnsi="Noto Sans" w:cs="Noto Sans"/>
          <w:i/>
          <w:iCs/>
          <w:sz w:val="22"/>
          <w:lang w:val="es-ES"/>
        </w:rPr>
      </w:pPr>
      <w:r w:rsidRPr="00BF4B36">
        <w:rPr>
          <w:rFonts w:ascii="Noto Sans" w:hAnsi="Noto Sans" w:cs="Noto Sans"/>
          <w:i/>
          <w:iCs/>
          <w:sz w:val="22"/>
          <w:lang w:val="es-ES"/>
        </w:rPr>
        <w:t xml:space="preserve">El comercio minorista a nivel mundial está acelerando la adopción de los códigos 2D impulsados por GS1. Las grandes marcas consideran cada vez más que los códigos 2D son fundamentales para los envases inteligentes, la mejora de la trazabilidad de los alimentos y fomentar la confianza por parte de los consumidores. A medida que las empresas fabricantes de alimentos se acercan a un punto de inflexión en la aplicación, verificación y el uso compartido de los datos de los productos, Rachael Satchwell, Global Food Sector Manager de </w:t>
      </w:r>
      <w:hyperlink r:id="rId6" w:history="1">
        <w:r w:rsidRPr="009D24E2">
          <w:rPr>
            <w:rStyle w:val="Hyperlink"/>
            <w:rFonts w:ascii="Noto Sans" w:hAnsi="Noto Sans" w:cs="Noto Sans"/>
            <w:i/>
            <w:iCs/>
            <w:sz w:val="22"/>
            <w:lang w:val="es-ES"/>
          </w:rPr>
          <w:t>Domino Printing Sciences</w:t>
        </w:r>
      </w:hyperlink>
      <w:r w:rsidRPr="00BF4B36">
        <w:rPr>
          <w:rFonts w:ascii="Noto Sans" w:hAnsi="Noto Sans" w:cs="Noto Sans"/>
          <w:i/>
          <w:iCs/>
          <w:sz w:val="22"/>
          <w:lang w:val="es-ES"/>
        </w:rPr>
        <w:t>, ofrece una hoja de ruta práctica para respaldar una implementación más rápida, mejores resultados de cumplimiento y una eficiencia operativa medible.</w:t>
      </w:r>
    </w:p>
    <w:p w14:paraId="52E76BB7" w14:textId="77777777" w:rsidR="00BF4B36" w:rsidRDefault="00BF4B36" w:rsidP="00BF4B36">
      <w:pPr>
        <w:rPr>
          <w:rFonts w:ascii="Noto Sans" w:hAnsi="Noto Sans" w:cs="Noto Sans"/>
          <w:b/>
          <w:bCs/>
          <w:sz w:val="22"/>
          <w:lang w:val="es-ES"/>
        </w:rPr>
      </w:pPr>
    </w:p>
    <w:p w14:paraId="6C59C7AD" w14:textId="7AF98EC7" w:rsidR="00BF4B36" w:rsidRPr="00BF4B36" w:rsidRDefault="00BF4B36" w:rsidP="00BF4B36">
      <w:pPr>
        <w:rPr>
          <w:rFonts w:ascii="Noto Sans" w:hAnsi="Noto Sans" w:cs="Noto Sans"/>
          <w:b/>
          <w:bCs/>
          <w:sz w:val="22"/>
        </w:rPr>
      </w:pPr>
      <w:r w:rsidRPr="00BF4B36">
        <w:rPr>
          <w:rFonts w:ascii="Noto Sans" w:hAnsi="Noto Sans" w:cs="Noto Sans"/>
          <w:b/>
          <w:bCs/>
          <w:sz w:val="22"/>
          <w:lang w:val="es-ES"/>
        </w:rPr>
        <w:t>El valor tangible de los códigos 2D</w:t>
      </w:r>
    </w:p>
    <w:p w14:paraId="4B4E17AE" w14:textId="77777777" w:rsidR="00BF4B36" w:rsidRPr="00BF4B36" w:rsidRDefault="00BF4B36" w:rsidP="00BF4B36">
      <w:pPr>
        <w:rPr>
          <w:rFonts w:ascii="Noto Sans" w:hAnsi="Noto Sans" w:cs="Noto Sans"/>
          <w:sz w:val="22"/>
          <w:highlight w:val="yellow"/>
        </w:rPr>
      </w:pPr>
      <w:r w:rsidRPr="00BF4B36">
        <w:rPr>
          <w:rFonts w:ascii="Noto Sans" w:hAnsi="Noto Sans" w:cs="Noto Sans"/>
          <w:sz w:val="22"/>
          <w:lang w:val="es-ES"/>
        </w:rPr>
        <w:t xml:space="preserve">Si bien el impulso de los códigos 2D es innegable, un obstáculo importante para la adopción temprana sigue siendo el escaso conocimiento operativo. No se trata de un simple requisito impulsado por los minoristas. Ni mucho menos. Los códigos 2D son un elemento fundamental de la eficiencia de fabricación, la seguridad alimentaria y la toma de decisiones basada en datos. </w:t>
      </w:r>
    </w:p>
    <w:p w14:paraId="4B1874E1" w14:textId="77777777" w:rsidR="00BF4B36" w:rsidRDefault="00BF4B36" w:rsidP="00BF4B36">
      <w:pPr>
        <w:rPr>
          <w:rFonts w:ascii="Noto Sans" w:hAnsi="Noto Sans" w:cs="Noto Sans"/>
          <w:sz w:val="22"/>
          <w:lang w:val="es-ES"/>
        </w:rPr>
      </w:pPr>
    </w:p>
    <w:p w14:paraId="0DEF5457" w14:textId="77CB3E0D" w:rsidR="00BF4B36" w:rsidRPr="00BF4B36" w:rsidRDefault="00BF4B36" w:rsidP="00BF4B36">
      <w:pPr>
        <w:rPr>
          <w:rFonts w:ascii="Noto Sans" w:hAnsi="Noto Sans" w:cs="Noto Sans"/>
          <w:sz w:val="22"/>
        </w:rPr>
      </w:pPr>
      <w:r w:rsidRPr="00BF4B36">
        <w:rPr>
          <w:rFonts w:ascii="Noto Sans" w:hAnsi="Noto Sans" w:cs="Noto Sans"/>
          <w:sz w:val="22"/>
          <w:lang w:val="es-ES"/>
        </w:rPr>
        <w:t xml:space="preserve">El uso de códigos 2D en las cadenas de suministro de alimentos permite capturar la información a nivel de lote y artículo, lo que favorece una mayor trazabilidad de los alimentos. Los fabricantes pueden detectar rápidamente los problemas con mucha más precisión, lo que reduce el alcance, el coste y las interrupciones en la retirada de productos, además de reforzar el cumplimiento en materia de seguridad alimentaria en toda la fábrica y fuera de ella. Además, cuando se aplican datos dinámicos en el lugar de fabricación, se mejora la visibilidad de la vida útil, lo que favorece una mejor </w:t>
      </w:r>
      <w:r w:rsidRPr="00BF4B36">
        <w:rPr>
          <w:rFonts w:ascii="Noto Sans" w:hAnsi="Noto Sans" w:cs="Noto Sans"/>
          <w:sz w:val="22"/>
          <w:lang w:val="es-ES"/>
        </w:rPr>
        <w:lastRenderedPageBreak/>
        <w:t>rotación de las existencias y reduce el riesgo de que los productos próximos a caducar o caducados avancen por la cadena.</w:t>
      </w:r>
    </w:p>
    <w:p w14:paraId="72E9360B" w14:textId="77777777" w:rsidR="00BF4B36" w:rsidRDefault="00BF4B36" w:rsidP="00BF4B36">
      <w:pPr>
        <w:rPr>
          <w:rFonts w:ascii="Noto Sans" w:hAnsi="Noto Sans" w:cs="Noto Sans"/>
          <w:sz w:val="22"/>
          <w:lang w:val="es-ES"/>
        </w:rPr>
      </w:pPr>
    </w:p>
    <w:p w14:paraId="31835730" w14:textId="407F68ED" w:rsidR="00BF4B36" w:rsidRPr="00BF4B36" w:rsidRDefault="00BF4B36" w:rsidP="00BF4B36">
      <w:pPr>
        <w:rPr>
          <w:rFonts w:ascii="Noto Sans" w:hAnsi="Noto Sans" w:cs="Noto Sans"/>
          <w:sz w:val="22"/>
        </w:rPr>
      </w:pPr>
      <w:r w:rsidRPr="00BF4B36">
        <w:rPr>
          <w:rFonts w:ascii="Noto Sans" w:hAnsi="Noto Sans" w:cs="Noto Sans"/>
          <w:sz w:val="22"/>
          <w:lang w:val="es-ES"/>
        </w:rPr>
        <w:t>Los envases inteligentes basados en códigos 2D pueden reforzar la confianza de los clientes en la marca con una mayor transparencia en torno a los alérgenos, los ingredientes, el origen y la sostenibilidad. La disponibilidad de datos de los productos en tiempo real también permite que la cadena de suministro de alimentos tenga una mayor capacidad de respuesta, lo que ayuda a los fabricantes y minoristas a compartir información, coordinar mejor la producción y la reposición, y reducir los residuos. Una vez que estos beneficios se exponen claramente, ayudan a alinear a las partes interesadas internas y a respaldar un argumento comercial sólido y basado en pruebas.</w:t>
      </w:r>
    </w:p>
    <w:p w14:paraId="2193DC84" w14:textId="77777777" w:rsidR="00BF4B36" w:rsidRDefault="00BF4B36" w:rsidP="00BF4B36">
      <w:pPr>
        <w:rPr>
          <w:rFonts w:ascii="Noto Sans" w:hAnsi="Noto Sans" w:cs="Noto Sans"/>
          <w:b/>
          <w:bCs/>
          <w:sz w:val="22"/>
          <w:lang w:val="es-ES"/>
        </w:rPr>
      </w:pPr>
    </w:p>
    <w:p w14:paraId="16B48E27" w14:textId="7EA88218" w:rsidR="00BF4B36" w:rsidRPr="00BF4B36" w:rsidRDefault="00BF4B36" w:rsidP="00BF4B36">
      <w:pPr>
        <w:rPr>
          <w:rFonts w:ascii="Noto Sans" w:hAnsi="Noto Sans" w:cs="Noto Sans"/>
          <w:b/>
          <w:bCs/>
          <w:sz w:val="22"/>
        </w:rPr>
      </w:pPr>
      <w:r w:rsidRPr="00BF4B36">
        <w:rPr>
          <w:rFonts w:ascii="Noto Sans" w:hAnsi="Noto Sans" w:cs="Noto Sans"/>
          <w:b/>
          <w:bCs/>
          <w:sz w:val="22"/>
          <w:lang w:val="es-ES"/>
        </w:rPr>
        <w:t>Los primeros pasos para adoptar los códigos 2D</w:t>
      </w:r>
    </w:p>
    <w:p w14:paraId="27BE2D1C" w14:textId="77777777" w:rsidR="00BF4B36" w:rsidRPr="00BF4B36" w:rsidRDefault="00BF4B36" w:rsidP="00BF4B36">
      <w:pPr>
        <w:rPr>
          <w:rFonts w:ascii="Noto Sans" w:hAnsi="Noto Sans" w:cs="Noto Sans"/>
          <w:sz w:val="22"/>
        </w:rPr>
      </w:pPr>
      <w:r w:rsidRPr="00BF4B36">
        <w:rPr>
          <w:rFonts w:ascii="Noto Sans" w:hAnsi="Noto Sans" w:cs="Noto Sans"/>
          <w:sz w:val="22"/>
          <w:lang w:val="es-ES"/>
        </w:rPr>
        <w:t xml:space="preserve">Para muchos fabricantes, el punto de partida no es la tecnología, sino comprender las repercusiones en los entornos de producción reales. Equilibrar la maquinaria heredada, la automatización más reciente y los equipos operativos sobrecargados requiere un plan de migración que sea factible, de bajo riesgo y que esté firmemente arraigado en la realidad cotidiana de la fábrica. </w:t>
      </w:r>
    </w:p>
    <w:p w14:paraId="0A0F0E69" w14:textId="77777777" w:rsidR="00BF4B36" w:rsidRDefault="00BF4B36" w:rsidP="00BF4B36">
      <w:pPr>
        <w:rPr>
          <w:rFonts w:ascii="Noto Sans" w:hAnsi="Noto Sans" w:cs="Noto Sans"/>
          <w:sz w:val="22"/>
          <w:lang w:val="es-ES"/>
        </w:rPr>
      </w:pPr>
    </w:p>
    <w:p w14:paraId="45D554D4" w14:textId="5F16D5A5" w:rsidR="00BF4B36" w:rsidRPr="00BF4B36" w:rsidRDefault="00BF4B36" w:rsidP="00BF4B36">
      <w:pPr>
        <w:rPr>
          <w:rFonts w:ascii="Noto Sans" w:hAnsi="Noto Sans" w:cs="Noto Sans"/>
          <w:sz w:val="22"/>
        </w:rPr>
      </w:pPr>
      <w:r w:rsidRPr="00BF4B36">
        <w:rPr>
          <w:rFonts w:ascii="Noto Sans" w:hAnsi="Noto Sans" w:cs="Noto Sans"/>
          <w:sz w:val="22"/>
          <w:lang w:val="es-ES"/>
        </w:rPr>
        <w:t>El objetivo es permitir que los fabricantes adopten los códigos 2D de forma segura y con la mínima interrupción en sus operaciones. El primer paso consiste en formar un equipo interdisciplinario que defina los objetivos de introducir los códigos 2D y determine los requisitos de los datos. A partir de ahí, se debe evaluar el material gráfico existente en los envases para comprender el espacio, la colocación y la legibilidad de los códigos 2D, a la vez que se identifica cualquier actualización necesaria para cumplir con los estándares GS1 y las expectativas del comercio minorista.</w:t>
      </w:r>
    </w:p>
    <w:p w14:paraId="48E04729" w14:textId="77777777" w:rsidR="00BF4B36" w:rsidRDefault="00BF4B36" w:rsidP="00BF4B36">
      <w:pPr>
        <w:rPr>
          <w:rFonts w:ascii="Noto Sans" w:hAnsi="Noto Sans" w:cs="Noto Sans"/>
          <w:sz w:val="22"/>
          <w:lang w:val="es-ES"/>
        </w:rPr>
      </w:pPr>
    </w:p>
    <w:p w14:paraId="242411B3" w14:textId="5BB1A3A8" w:rsidR="00BF4B36" w:rsidRPr="00BF4B36" w:rsidRDefault="00BF4B36" w:rsidP="00BF4B36">
      <w:pPr>
        <w:rPr>
          <w:rFonts w:ascii="Noto Sans" w:hAnsi="Noto Sans" w:cs="Noto Sans"/>
          <w:sz w:val="22"/>
        </w:rPr>
      </w:pPr>
      <w:r w:rsidRPr="00BF4B36">
        <w:rPr>
          <w:rFonts w:ascii="Noto Sans" w:hAnsi="Noto Sans" w:cs="Noto Sans"/>
          <w:sz w:val="22"/>
          <w:lang w:val="es-ES"/>
        </w:rPr>
        <w:t xml:space="preserve">Los nuevos requisitos en el material gráfico también determinarán la necesidad de actualizar los equipos actuales de codificación y verificación. Es importante reconocer que la maquinaria heredada no siempre es un obstáculo para adoptar los códigos 2D. No hay necesidad de realizar una gran inversión de capital ni de sufrir un tiempo de inactividad prolongado. Las impresoras, los escáneres y los sistemas de visión modernos están diseñados para ser modulares y pueden incorporarse a la mayoría de las líneas existentes con un trabajo de ingeniería mínimo. </w:t>
      </w:r>
    </w:p>
    <w:p w14:paraId="16C7BAD9" w14:textId="77777777" w:rsidR="00BF4B36" w:rsidRPr="00BF4B36" w:rsidRDefault="00BF4B36" w:rsidP="00BF4B36">
      <w:pPr>
        <w:rPr>
          <w:rFonts w:ascii="Noto Sans" w:hAnsi="Noto Sans" w:cs="Noto Sans"/>
          <w:sz w:val="22"/>
        </w:rPr>
      </w:pPr>
      <w:r w:rsidRPr="00BF4B36">
        <w:rPr>
          <w:rFonts w:ascii="Noto Sans" w:hAnsi="Noto Sans" w:cs="Noto Sans"/>
          <w:sz w:val="22"/>
          <w:lang w:val="es-ES"/>
        </w:rPr>
        <w:t>La introducción de los códigos 2D creará nuevos tipos y flujos de datos entre las impresoras, las cámaras, los PLC y los sistemas informáticos. Analizar el recorrido que sigue la información a través de la línea ayuda a evitar los cuellos de botella y previene los problemas de verificación en las etapas posteriores.</w:t>
      </w:r>
    </w:p>
    <w:p w14:paraId="0E243500" w14:textId="77777777" w:rsidR="00BF4B36" w:rsidRDefault="00BF4B36" w:rsidP="00BF4B36">
      <w:pPr>
        <w:rPr>
          <w:rFonts w:ascii="Noto Sans" w:hAnsi="Noto Sans" w:cs="Noto Sans"/>
          <w:b/>
          <w:bCs/>
          <w:sz w:val="22"/>
          <w:lang w:val="es-ES"/>
        </w:rPr>
      </w:pPr>
    </w:p>
    <w:p w14:paraId="0757E0DD" w14:textId="6363FE6B" w:rsidR="00BF4B36" w:rsidRPr="00BF4B36" w:rsidRDefault="00BF4B36" w:rsidP="00BF4B36">
      <w:pPr>
        <w:rPr>
          <w:rFonts w:ascii="Noto Sans" w:hAnsi="Noto Sans" w:cs="Noto Sans"/>
          <w:b/>
          <w:bCs/>
          <w:sz w:val="22"/>
        </w:rPr>
      </w:pPr>
      <w:r w:rsidRPr="00BF4B36">
        <w:rPr>
          <w:rFonts w:ascii="Noto Sans" w:hAnsi="Noto Sans" w:cs="Noto Sans"/>
          <w:b/>
          <w:bCs/>
          <w:sz w:val="22"/>
          <w:lang w:val="es-ES"/>
        </w:rPr>
        <w:t xml:space="preserve">Verificación automatizada para mejorar la seguridad y la eficiencia </w:t>
      </w:r>
    </w:p>
    <w:p w14:paraId="515A4371" w14:textId="77777777" w:rsidR="00BF4B36" w:rsidRPr="00BF4B36" w:rsidRDefault="00BF4B36" w:rsidP="00BF4B36">
      <w:pPr>
        <w:rPr>
          <w:rFonts w:ascii="Noto Sans" w:hAnsi="Noto Sans" w:cs="Noto Sans"/>
          <w:sz w:val="22"/>
        </w:rPr>
      </w:pPr>
      <w:r w:rsidRPr="00BF4B36">
        <w:rPr>
          <w:rFonts w:ascii="Noto Sans" w:hAnsi="Noto Sans" w:cs="Noto Sans"/>
          <w:sz w:val="22"/>
          <w:lang w:val="es-ES"/>
        </w:rPr>
        <w:t xml:space="preserve">Una verificación sólida es un aspecto fundamental para mejorar la seguridad alimentaria. Los sistemas de verificación en línea automatizada combinan la tecnología de visión basada en cámaras con una clasificación de códigos en tiempo real, lo que garantiza que cada código 2D esté presente, sea legible, tenga la estructura correcta y se aplique al producto adecuado. </w:t>
      </w:r>
    </w:p>
    <w:p w14:paraId="352CB7D8" w14:textId="77777777" w:rsidR="00BF4B36" w:rsidRDefault="00BF4B36" w:rsidP="00BF4B36">
      <w:pPr>
        <w:rPr>
          <w:rFonts w:ascii="Noto Sans" w:hAnsi="Noto Sans" w:cs="Noto Sans"/>
          <w:sz w:val="22"/>
          <w:lang w:val="es-ES"/>
        </w:rPr>
      </w:pPr>
    </w:p>
    <w:p w14:paraId="0EDA38FE" w14:textId="1E120A95" w:rsidR="00BF4B36" w:rsidRPr="00BF4B36" w:rsidRDefault="00BF4B36" w:rsidP="00BF4B36">
      <w:pPr>
        <w:rPr>
          <w:rFonts w:ascii="Noto Sans" w:hAnsi="Noto Sans" w:cs="Noto Sans"/>
          <w:sz w:val="22"/>
        </w:rPr>
      </w:pPr>
      <w:r w:rsidRPr="00BF4B36">
        <w:rPr>
          <w:rFonts w:ascii="Noto Sans" w:hAnsi="Noto Sans" w:cs="Noto Sans"/>
          <w:sz w:val="22"/>
          <w:lang w:val="es-ES"/>
        </w:rPr>
        <w:t xml:space="preserve">La verificación automatizada reduce la necesidad de realizar comprobaciones manuales; disminuye los residuos asociados a los códigos ilegibles o incorrectos y evita la retirada de productos vinculada a errores de codificación o de cumplimiento. También proporciona pruebas de que existe un cumplimiento fiable de los estándares GS1, lo que refuerza el cumplimiento en materia de seguridad alimentaria y genera confianza en toda la cadena de suministro. El último paso es auditar la compatibilidad del sustrato y la tinta o el ribbon para garantizar que los códigos sean duraderos y de </w:t>
      </w:r>
      <w:r w:rsidRPr="00BF4B36">
        <w:rPr>
          <w:rFonts w:ascii="Noto Sans" w:hAnsi="Noto Sans" w:cs="Noto Sans"/>
          <w:sz w:val="22"/>
          <w:lang w:val="es-ES"/>
        </w:rPr>
        <w:lastRenderedPageBreak/>
        <w:t xml:space="preserve">alta calidad en todos los materiales y, de este modo, evitar que se detenga la línea por problemas en la impresión. </w:t>
      </w:r>
    </w:p>
    <w:p w14:paraId="7904BDCC" w14:textId="77777777" w:rsidR="00BF4B36" w:rsidRDefault="00BF4B36" w:rsidP="00BF4B36">
      <w:pPr>
        <w:rPr>
          <w:rFonts w:ascii="Noto Sans" w:hAnsi="Noto Sans" w:cs="Noto Sans"/>
          <w:sz w:val="22"/>
          <w:lang w:val="es-ES"/>
        </w:rPr>
      </w:pPr>
    </w:p>
    <w:p w14:paraId="64C9342D" w14:textId="0F959869" w:rsidR="00BF4B36" w:rsidRPr="00BF4B36" w:rsidRDefault="00BF4B36" w:rsidP="00BF4B36">
      <w:pPr>
        <w:rPr>
          <w:rFonts w:ascii="Noto Sans" w:hAnsi="Noto Sans" w:cs="Noto Sans"/>
          <w:sz w:val="22"/>
        </w:rPr>
      </w:pPr>
      <w:r w:rsidRPr="00BF4B36">
        <w:rPr>
          <w:rFonts w:ascii="Noto Sans" w:hAnsi="Noto Sans" w:cs="Noto Sans"/>
          <w:sz w:val="22"/>
          <w:lang w:val="es-ES"/>
        </w:rPr>
        <w:t>A continuación, una fase piloto controlada permite que los equipos ajusten toda la configuración antes de que se produzca un despliegue más amplio. Empieza con uno o dos SKU de gran repercusión, como aquellos con una vida útil más corta o destinados a mercados en los que ya se adoptan los envases inteligentes. Ajustar la velocidad de la línea, las condiciones de iluminación, la lógica de rechazo y la integración de los equipos en un área de producto estrechamente controlada puede generar valor a corto plazo a la vez que limita las interrupciones. El éxito de un programa piloto también refuerza los argumentos comerciales internos para un despliegue más amplio, acercando a la organización a unas operaciones totalmente conectadas y preparadas para el futuro.</w:t>
      </w:r>
    </w:p>
    <w:p w14:paraId="7647FB7F" w14:textId="77777777" w:rsidR="00BF4B36" w:rsidRDefault="00BF4B36" w:rsidP="00BF4B36">
      <w:pPr>
        <w:rPr>
          <w:rFonts w:ascii="Noto Sans" w:hAnsi="Noto Sans" w:cs="Noto Sans"/>
          <w:b/>
          <w:bCs/>
          <w:sz w:val="22"/>
          <w:lang w:val="es-ES"/>
        </w:rPr>
      </w:pPr>
    </w:p>
    <w:p w14:paraId="15E37C44" w14:textId="45F22A27" w:rsidR="00BF4B36" w:rsidRPr="00BF4B36" w:rsidRDefault="00BF4B36" w:rsidP="00BF4B36">
      <w:pPr>
        <w:rPr>
          <w:rFonts w:ascii="Noto Sans" w:hAnsi="Noto Sans" w:cs="Noto Sans"/>
          <w:b/>
          <w:bCs/>
          <w:sz w:val="22"/>
        </w:rPr>
      </w:pPr>
      <w:r w:rsidRPr="00BF4B36">
        <w:rPr>
          <w:rFonts w:ascii="Noto Sans" w:hAnsi="Noto Sans" w:cs="Noto Sans"/>
          <w:b/>
          <w:bCs/>
          <w:sz w:val="22"/>
          <w:lang w:val="es-ES"/>
        </w:rPr>
        <w:t>Hacia dónde se dirigen los códigos 2D en la fabricación de alimentos</w:t>
      </w:r>
    </w:p>
    <w:p w14:paraId="5322EEFB" w14:textId="77777777" w:rsidR="00BF4B36" w:rsidRPr="00BF4B36" w:rsidRDefault="00BF4B36" w:rsidP="00BF4B36">
      <w:pPr>
        <w:rPr>
          <w:rFonts w:ascii="Noto Sans" w:hAnsi="Noto Sans" w:cs="Noto Sans"/>
          <w:sz w:val="22"/>
        </w:rPr>
      </w:pPr>
      <w:r w:rsidRPr="00BF4B36">
        <w:rPr>
          <w:rFonts w:ascii="Noto Sans" w:hAnsi="Noto Sans" w:cs="Noto Sans"/>
          <w:sz w:val="22"/>
          <w:lang w:val="es-ES"/>
        </w:rPr>
        <w:t xml:space="preserve">La adopción de los códigos 2D refleja un cambio global mucho más amplio hacia unas cadenas de suministro de alimentos más transparentes y basadas en los datos. Esto está en estrecha consonancia con las crecientes expectativas de los consumidores, la evolución de los requisitos de los minoristas y el impulso generalizado hacia unos datos de los productos digitalizados e interoperables. </w:t>
      </w:r>
    </w:p>
    <w:p w14:paraId="7E77F9A8" w14:textId="77777777" w:rsidR="00BF4B36" w:rsidRDefault="00BF4B36" w:rsidP="00BF4B36">
      <w:pPr>
        <w:rPr>
          <w:rFonts w:ascii="Noto Sans" w:hAnsi="Noto Sans" w:cs="Noto Sans"/>
          <w:sz w:val="22"/>
          <w:lang w:val="es-ES"/>
        </w:rPr>
      </w:pPr>
    </w:p>
    <w:p w14:paraId="7E36E873" w14:textId="42883577" w:rsidR="00BF4B36" w:rsidRPr="00BF4B36" w:rsidRDefault="00BF4B36" w:rsidP="00BF4B36">
      <w:pPr>
        <w:rPr>
          <w:rFonts w:ascii="Noto Sans" w:hAnsi="Noto Sans" w:cs="Noto Sans"/>
          <w:sz w:val="22"/>
        </w:rPr>
      </w:pPr>
      <w:r w:rsidRPr="00BF4B36">
        <w:rPr>
          <w:rFonts w:ascii="Noto Sans" w:hAnsi="Noto Sans" w:cs="Noto Sans"/>
          <w:sz w:val="22"/>
          <w:lang w:val="es-ES"/>
        </w:rPr>
        <w:t xml:space="preserve">No hay necesidad de realizar una sustitución integral de los equipos. Empieza por cerrar la brecha de conocimiento actual, céntrate en los logros operativos factibles e integra las nuevas capacidades con los activos existentes. Mejorar la confianza y la claridad permitirá que los fabricantes de alimentos evolucionen hacia una fabricación de alimentos más inteligente y conectada. Las empresas fabricantes que den los primeros pasos prácticos estarán bien posicionadas para liderar la próxima generación de fabricación de alimentos conectada y preparada para el futuro. </w:t>
      </w:r>
    </w:p>
    <w:p w14:paraId="53EB7C38" w14:textId="77777777" w:rsidR="005524DB" w:rsidRDefault="005524DB" w:rsidP="00BF4B36">
      <w:pPr>
        <w:rPr>
          <w:sz w:val="22"/>
        </w:rPr>
      </w:pPr>
    </w:p>
    <w:p w14:paraId="05772A40" w14:textId="492B5990" w:rsidR="00BF4B36" w:rsidRDefault="00BF4B36" w:rsidP="00BF4B36">
      <w:pPr>
        <w:rPr>
          <w:sz w:val="22"/>
        </w:rPr>
      </w:pPr>
      <w:r>
        <w:rPr>
          <w:sz w:val="22"/>
        </w:rPr>
        <w:t>&lt;</w:t>
      </w:r>
      <w:r w:rsidRPr="00BF4B36">
        <w:rPr>
          <w:b/>
          <w:bCs/>
          <w:sz w:val="22"/>
        </w:rPr>
        <w:t>FIN</w:t>
      </w:r>
      <w:r>
        <w:rPr>
          <w:sz w:val="22"/>
        </w:rPr>
        <w:t>&gt;</w:t>
      </w:r>
    </w:p>
    <w:p w14:paraId="411C0F05" w14:textId="686CEA68" w:rsidR="00BF4B36" w:rsidRPr="00024078" w:rsidRDefault="00BF4B36" w:rsidP="00BF4B36">
      <w:pPr>
        <w:spacing w:line="240" w:lineRule="auto"/>
        <w:rPr>
          <w:rFonts w:ascii="Noto Sans" w:hAnsi="Noto Sans" w:cs="Noto Sans"/>
          <w:sz w:val="20"/>
          <w:szCs w:val="20"/>
          <w:lang w:val="es-ES"/>
        </w:rPr>
      </w:pPr>
      <w:bookmarkStart w:id="0" w:name="_Hlk531088985"/>
      <w:r>
        <w:rPr>
          <w:rFonts w:ascii="Noto Sans" w:hAnsi="Noto Sans" w:cs="Noto Sans"/>
          <w:b/>
          <w:bCs/>
          <w:sz w:val="20"/>
          <w:szCs w:val="20"/>
          <w:lang w:val="es"/>
        </w:rPr>
        <w:t>Descargo de responsabilida</w:t>
      </w:r>
      <w:bookmarkEnd w:id="0"/>
      <w:r w:rsidR="002E7628">
        <w:rPr>
          <w:rFonts w:ascii="Noto Sans" w:hAnsi="Noto Sans" w:cs="Noto Sans"/>
          <w:b/>
          <w:bCs/>
          <w:sz w:val="20"/>
          <w:szCs w:val="20"/>
          <w:lang w:val="es"/>
        </w:rPr>
        <w:t>d</w:t>
      </w:r>
      <w:r w:rsidR="002E7628">
        <w:rPr>
          <w:rFonts w:ascii="Noto Sans" w:hAnsi="Noto Sans" w:cs="Noto Sans"/>
          <w:b/>
          <w:bCs/>
          <w:sz w:val="20"/>
          <w:szCs w:val="20"/>
          <w:lang w:val="es"/>
        </w:rPr>
        <w:br/>
      </w:r>
      <w:r w:rsidR="002E7628">
        <w:rPr>
          <w:rFonts w:ascii="Noto Sans" w:hAnsi="Noto Sans" w:cs="Noto Sans"/>
          <w:b/>
          <w:bCs/>
          <w:sz w:val="20"/>
          <w:szCs w:val="20"/>
          <w:lang w:val="es"/>
        </w:rPr>
        <w:br/>
      </w:r>
      <w:r>
        <w:rPr>
          <w:rFonts w:ascii="Noto Sans" w:hAnsi="Noto Sans" w:cs="Noto Sans"/>
          <w:b/>
          <w:bCs/>
          <w:sz w:val="20"/>
          <w:szCs w:val="20"/>
          <w:lang w:val="es"/>
        </w:rPr>
        <w:t>Tintas</w:t>
      </w:r>
      <w:r>
        <w:rPr>
          <w:rFonts w:ascii="Noto Sans" w:hAnsi="Noto Sans" w:cs="Noto Sans"/>
          <w:sz w:val="20"/>
          <w:szCs w:val="20"/>
          <w:lang w:val="es"/>
        </w:rPr>
        <w:br/>
        <w:t xml:space="preserve">La información contenida en este documento no pretende sustituir la realización de las pruebas correspondientes a su uso y circunstancias específicas. Ni Domino UK Limited ni ninguna de las empresas del grupo Domino es responsable en ninguna medida del hecho de que usted pueda basar en este documento su confianza respecto a la adecuación de cualquier tinta para su tipo determinado de aplicación. Este documento no forma parte de ningún escrito de términos y condiciones entre usted y Domino, y los términos y condiciones de venta de Domino y, en especial las garantías y responsabilidades contenidas en los mismos, serán aplicables a toda compra de productos que usted haga. </w:t>
      </w:r>
      <w:r w:rsidR="002E7628">
        <w:rPr>
          <w:rFonts w:ascii="Noto Sans" w:hAnsi="Noto Sans" w:cs="Noto Sans"/>
          <w:sz w:val="20"/>
          <w:szCs w:val="20"/>
          <w:lang w:val="es-ES"/>
        </w:rPr>
        <w:br/>
      </w:r>
      <w:r w:rsidR="002E7628">
        <w:rPr>
          <w:rFonts w:ascii="Noto Sans" w:hAnsi="Noto Sans" w:cs="Noto Sans"/>
          <w:sz w:val="20"/>
          <w:szCs w:val="20"/>
          <w:lang w:val="es-ES"/>
        </w:rPr>
        <w:br/>
      </w:r>
      <w:r>
        <w:rPr>
          <w:rFonts w:ascii="Noto Sans" w:hAnsi="Noto Sans" w:cs="Noto Sans"/>
          <w:b/>
          <w:bCs/>
          <w:sz w:val="20"/>
          <w:szCs w:val="20"/>
          <w:lang w:val="es"/>
        </w:rPr>
        <w:t>Información general</w:t>
      </w:r>
      <w:r>
        <w:rPr>
          <w:rFonts w:ascii="Noto Sans" w:hAnsi="Noto Sans" w:cs="Noto Sans"/>
          <w:sz w:val="20"/>
          <w:szCs w:val="20"/>
          <w:lang w:val="es"/>
        </w:rPr>
        <w:br/>
        <w:t xml:space="preserve">La información contenida en este comunicado de prensa se considera verdadera y correcta en la fecha de publicación de Domino; los cambios en las circunstancias tras el momento de publicación pueden afectar a la precisión de la misma. Todas las cifras y declaraciones de rendimiento que constan en este documento han sido obtenidas en condiciones específicas y solo pueden ser reproducidas en circunstancias similares. Deberá ponerse en contacto con su comercial de Domino para más información sobre productos concretos. Este documento no forma parte de ningún escrito de términos y condiciones entre usted y Domino. </w:t>
      </w:r>
      <w:r w:rsidR="00BB4E36">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Imágenes</w:t>
      </w:r>
      <w:r>
        <w:rPr>
          <w:rFonts w:ascii="Noto Sans" w:hAnsi="Noto Sans" w:cs="Noto Sans"/>
          <w:sz w:val="20"/>
          <w:szCs w:val="20"/>
          <w:lang w:val="es"/>
        </w:rPr>
        <w:br/>
        <w:t xml:space="preserve">Las imágenes pueden incluir extras opcionales o actualizaciones. La calidad de impresión puede variar en función de los consumibles, la impresora, los sustratos y otros factores. Las imágenes y las fotografías no forman parte de ningún escrito de términos y condiciones entre usted y Domino.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Vídeos</w:t>
      </w:r>
      <w:r>
        <w:rPr>
          <w:rFonts w:ascii="Noto Sans" w:hAnsi="Noto Sans" w:cs="Noto Sans"/>
          <w:sz w:val="20"/>
          <w:szCs w:val="20"/>
          <w:lang w:val="es"/>
        </w:rPr>
        <w:br/>
        <w:t>Este vídeo se facilita únicamente con fines ilustrativos y puede incluir extras opcionales. Las cifras de rendimiento se han obtenido en condiciones específicas; el rendimiento sobre el terreno puede variar. Algunos errores y tiempo de inactividad en las líneas de producción pueden ser inevitables. No hay nada en este vídeo que forme parte de ningún contrato entre usted y Domino.</w:t>
      </w:r>
      <w:r>
        <w:rPr>
          <w:rFonts w:ascii="Noto Sans" w:hAnsi="Noto Sans" w:cs="Noto Sans"/>
          <w:sz w:val="20"/>
          <w:szCs w:val="20"/>
          <w:lang w:val="es"/>
        </w:rPr>
        <w:br/>
      </w:r>
      <w:bookmarkStart w:id="1" w:name="_Hlk61949672"/>
      <w:r>
        <w:rPr>
          <w:rFonts w:ascii="Noto Sans" w:hAnsi="Noto Sans" w:cs="Noto Sans"/>
          <w:sz w:val="20"/>
          <w:szCs w:val="20"/>
          <w:lang w:val="es"/>
        </w:rPr>
        <w:br/>
      </w:r>
      <w:r>
        <w:rPr>
          <w:rFonts w:ascii="Noto Sans" w:hAnsi="Noto Sans" w:cs="Noto Sans"/>
          <w:b/>
          <w:bCs/>
          <w:sz w:val="20"/>
          <w:szCs w:val="20"/>
          <w:lang w:val="es"/>
        </w:rPr>
        <w:t>Notas para los editores:</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Acerca de Domino</w:t>
      </w:r>
      <w:r>
        <w:rPr>
          <w:rFonts w:ascii="Noto Sans" w:hAnsi="Noto Sans" w:cs="Noto Sans"/>
          <w:sz w:val="20"/>
          <w:szCs w:val="20"/>
          <w:lang w:val="es"/>
        </w:rPr>
        <w:br/>
        <w:t xml:space="preserve">Domino Printing Sciences (Domino), empresa fundada en 1978, cuenta con un excelente prestigio a nivel mundial gracias a sus soluciones tecnológicas de codificación, marcaje e impresión. Como valor añadido, destaca su servicio internacional de postventa y atención al cliente. En la actualidad, Domino tiene una de las gamas más completas de soluciones de codificación integrales diseñadas específicamente para satisfacer los requisitos de </w:t>
      </w:r>
      <w:r>
        <w:rPr>
          <w:rFonts w:ascii="Noto Sans" w:hAnsi="Noto Sans" w:cs="Noto Sans"/>
          <w:sz w:val="20"/>
          <w:szCs w:val="20"/>
          <w:lang w:val="es"/>
        </w:rPr>
        <w:lastRenderedPageBreak/>
        <w:t xml:space="preserve">cumplimiento y de productividad de los fabricantes en numerosos sectores, entre los que destacan la industria de alimentos y bebidas, el sector farmacéutico y el industrial. Entre las tecnologías principales de la empresa se encuentran innovadores sistemas inkjet, láser, de impresión y aplicación de etiquetas y de impresión por transferencia térmica, diseñados para la aplicación de datos variables, códigos de barras y códigos de trazabilidad únicos en productos y envases. </w:t>
      </w:r>
      <w:r>
        <w:rPr>
          <w:rFonts w:ascii="Noto Sans" w:hAnsi="Noto Sans" w:cs="Noto Sans"/>
          <w:sz w:val="20"/>
          <w:szCs w:val="20"/>
          <w:lang w:val="es"/>
        </w:rPr>
        <w:br/>
      </w:r>
      <w:r>
        <w:rPr>
          <w:rFonts w:ascii="Noto Sans" w:hAnsi="Noto Sans" w:cs="Noto Sans"/>
          <w:sz w:val="20"/>
          <w:szCs w:val="20"/>
          <w:lang w:val="es"/>
        </w:rPr>
        <w:br/>
        <w:t>Domino cuenta con más de 3000 colaboradores en todo el mundo y vende a más de 120 países a través de una red global de 29 filiales y más de 200 distribuidores. Domino posee fábricas en Alemania, China, EE. UU., India, Reino Unido, Suecia y Suiza.</w:t>
      </w:r>
      <w:r>
        <w:rPr>
          <w:rFonts w:ascii="Noto Sans" w:hAnsi="Noto Sans" w:cs="Noto Sans"/>
          <w:sz w:val="20"/>
          <w:szCs w:val="20"/>
          <w:lang w:val="es"/>
        </w:rPr>
        <w:br/>
      </w:r>
      <w:r>
        <w:rPr>
          <w:rFonts w:ascii="Noto Sans" w:hAnsi="Noto Sans" w:cs="Noto Sans"/>
          <w:sz w:val="20"/>
          <w:szCs w:val="20"/>
          <w:lang w:val="es"/>
        </w:rPr>
        <w:br/>
        <w:t xml:space="preserve">Domino pasó a ser una división autónoma de Brother Industries Ltd. el 11 de junio de 2015. </w:t>
      </w:r>
      <w:r>
        <w:rPr>
          <w:rFonts w:ascii="Noto Sans" w:hAnsi="Noto Sans" w:cs="Noto Sans"/>
          <w:sz w:val="20"/>
          <w:szCs w:val="20"/>
          <w:lang w:val="es"/>
        </w:rPr>
        <w:br/>
      </w:r>
      <w:r>
        <w:rPr>
          <w:rFonts w:ascii="Noto Sans" w:hAnsi="Noto Sans" w:cs="Noto Sans"/>
          <w:sz w:val="20"/>
          <w:szCs w:val="20"/>
          <w:lang w:val="es"/>
        </w:rPr>
        <w:br/>
        <w:t>Para obtener más información sobre Domino,</w:t>
      </w:r>
      <w:r>
        <w:rPr>
          <w:rFonts w:ascii="Noto Sans" w:hAnsi="Noto Sans" w:cs="Noto Sans"/>
          <w:sz w:val="20"/>
          <w:szCs w:val="20"/>
          <w:lang w:val="es"/>
        </w:rPr>
        <w:br/>
        <w:t xml:space="preserve">visite </w:t>
      </w:r>
      <w:hyperlink r:id="rId7" w:history="1">
        <w:r>
          <w:rPr>
            <w:rStyle w:val="Hyperlink"/>
            <w:rFonts w:ascii="Noto Sans" w:hAnsi="Noto Sans" w:cs="Noto Sans"/>
            <w:sz w:val="20"/>
            <w:szCs w:val="20"/>
            <w:lang w:val="es"/>
          </w:rPr>
          <w:t>www.domino-spain.com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r>
        <w:rPr>
          <w:rFonts w:ascii="Noto Sans" w:hAnsi="Noto Sans" w:cs="Noto Sans"/>
          <w:b/>
          <w:bCs/>
          <w:sz w:val="20"/>
          <w:szCs w:val="20"/>
          <w:lang w:val="es"/>
        </w:rPr>
        <w:t>Contactos:</w:t>
      </w:r>
      <w:r>
        <w:rPr>
          <w:rFonts w:ascii="Noto Sans" w:hAnsi="Noto Sans" w:cs="Noto Sans"/>
          <w:sz w:val="20"/>
          <w:szCs w:val="20"/>
          <w:lang w:val="es"/>
        </w:rPr>
        <w:br/>
      </w:r>
      <w:r>
        <w:rPr>
          <w:rFonts w:ascii="Noto Sans" w:hAnsi="Noto Sans" w:cs="Noto Sans"/>
          <w:sz w:val="20"/>
          <w:szCs w:val="20"/>
          <w:lang w:val="es"/>
        </w:rPr>
        <w:br/>
      </w:r>
      <w:bookmarkEnd w:id="1"/>
      <w:r w:rsidRPr="00F4774E">
        <w:rPr>
          <w:rFonts w:ascii="Noto Sans" w:hAnsi="Noto Sans" w:cs="Noto Sans"/>
          <w:sz w:val="20"/>
          <w:szCs w:val="20"/>
          <w:lang w:val="nl"/>
        </w:rPr>
        <w:t>Jade Taylor-Salazar</w:t>
      </w:r>
      <w:r>
        <w:rPr>
          <w:rFonts w:ascii="Noto Sans" w:hAnsi="Noto Sans" w:cs="Noto Sans"/>
          <w:sz w:val="20"/>
          <w:szCs w:val="20"/>
          <w:lang w:val="es"/>
        </w:rPr>
        <w:br/>
        <w:t xml:space="preserve">RR. PP. y gestora de contenidos </w:t>
      </w:r>
      <w:r>
        <w:rPr>
          <w:rFonts w:ascii="Noto Sans" w:hAnsi="Noto Sans" w:cs="Noto Sans"/>
          <w:sz w:val="20"/>
          <w:szCs w:val="20"/>
          <w:lang w:val="es"/>
        </w:rPr>
        <w:br/>
        <w:t xml:space="preserve">Domino Printing Sciences </w:t>
      </w:r>
      <w:r>
        <w:rPr>
          <w:rFonts w:ascii="Noto Sans" w:hAnsi="Noto Sans" w:cs="Noto Sans"/>
          <w:sz w:val="20"/>
          <w:szCs w:val="20"/>
          <w:lang w:val="es"/>
        </w:rPr>
        <w:br/>
        <w:t>Tel.: +44 1954 778 780</w:t>
      </w:r>
      <w:r>
        <w:rPr>
          <w:rFonts w:ascii="Noto Sans" w:hAnsi="Noto Sans" w:cs="Noto Sans"/>
          <w:sz w:val="20"/>
          <w:szCs w:val="20"/>
          <w:lang w:val="es"/>
        </w:rPr>
        <w:br/>
      </w:r>
      <w:hyperlink r:id="rId8" w:history="1">
        <w:r w:rsidRPr="00DD4585">
          <w:rPr>
            <w:rStyle w:val="Hyperlink"/>
            <w:rFonts w:ascii="Noto Sans" w:hAnsi="Noto Sans" w:cs="Noto Sans"/>
            <w:sz w:val="20"/>
            <w:szCs w:val="20"/>
            <w:lang w:val="es-ES"/>
          </w:rPr>
          <w:t>Jade.Taylor-Salazar@domino-uk.com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t>Dafne Petracca</w:t>
      </w:r>
      <w:r w:rsidR="002E7628">
        <w:rPr>
          <w:rFonts w:ascii="Noto Sans" w:hAnsi="Noto Sans" w:cs="Noto Sans"/>
          <w:sz w:val="20"/>
          <w:szCs w:val="20"/>
          <w:lang w:val="es-ES"/>
        </w:rPr>
        <w:br/>
      </w:r>
      <w:r>
        <w:rPr>
          <w:rFonts w:ascii="Noto Sans" w:hAnsi="Noto Sans" w:cs="Noto Sans"/>
          <w:sz w:val="20"/>
          <w:szCs w:val="20"/>
          <w:lang w:val="es"/>
        </w:rPr>
        <w:t>Coordinadora de marketing</w:t>
      </w:r>
      <w:r w:rsidR="002E7628">
        <w:rPr>
          <w:rFonts w:ascii="Noto Sans" w:hAnsi="Noto Sans" w:cs="Noto Sans"/>
          <w:sz w:val="20"/>
          <w:szCs w:val="20"/>
          <w:lang w:val="es-ES"/>
        </w:rPr>
        <w:br/>
      </w:r>
      <w:r>
        <w:rPr>
          <w:rFonts w:ascii="Noto Sans" w:hAnsi="Noto Sans" w:cs="Noto Sans"/>
          <w:sz w:val="20"/>
          <w:szCs w:val="20"/>
          <w:lang w:val="es"/>
        </w:rPr>
        <w:t>Domino España</w:t>
      </w:r>
      <w:r w:rsidR="002E7628">
        <w:rPr>
          <w:rFonts w:ascii="Noto Sans" w:hAnsi="Noto Sans" w:cs="Noto Sans"/>
          <w:sz w:val="20"/>
          <w:szCs w:val="20"/>
          <w:lang w:val="es-ES"/>
        </w:rPr>
        <w:br/>
      </w:r>
      <w:r>
        <w:rPr>
          <w:rFonts w:ascii="Noto Sans" w:hAnsi="Noto Sans" w:cs="Noto Sans"/>
          <w:sz w:val="20"/>
          <w:szCs w:val="20"/>
          <w:lang w:val="es"/>
        </w:rPr>
        <w:t>Tel.: +34 616 074 252</w:t>
      </w:r>
      <w:r w:rsidR="002E7628">
        <w:rPr>
          <w:rFonts w:ascii="Noto Sans" w:hAnsi="Noto Sans" w:cs="Noto Sans"/>
          <w:sz w:val="20"/>
          <w:szCs w:val="20"/>
          <w:lang w:val="es-ES"/>
        </w:rPr>
        <w:br/>
      </w:r>
      <w:hyperlink r:id="rId9" w:history="1">
        <w:r w:rsidR="002E7628" w:rsidRPr="008D6B8A">
          <w:rPr>
            <w:rStyle w:val="Hyperlink"/>
            <w:rFonts w:ascii="Noto Sans" w:hAnsi="Noto Sans" w:cs="Noto Sans"/>
            <w:sz w:val="20"/>
            <w:szCs w:val="20"/>
            <w:lang w:val="es"/>
          </w:rPr>
          <w:t>dafne.petracca@domino-spain.com</w:t>
        </w:r>
      </w:hyperlink>
      <w:r>
        <w:rPr>
          <w:rFonts w:ascii="Noto Sans" w:hAnsi="Noto Sans" w:cs="Noto Sans"/>
          <w:sz w:val="20"/>
          <w:szCs w:val="20"/>
          <w:lang w:val="es"/>
        </w:rPr>
        <w:t xml:space="preserve"> </w:t>
      </w:r>
      <w:r>
        <w:rPr>
          <w:rFonts w:ascii="Noto Sans" w:hAnsi="Noto Sans" w:cs="Noto Sans"/>
          <w:sz w:val="20"/>
          <w:szCs w:val="20"/>
          <w:lang w:val="es"/>
        </w:rPr>
        <w:br/>
      </w:r>
      <w:r>
        <w:rPr>
          <w:rFonts w:ascii="Noto Sans" w:hAnsi="Noto Sans" w:cs="Noto Sans"/>
          <w:sz w:val="20"/>
          <w:szCs w:val="20"/>
          <w:lang w:val="es"/>
        </w:rPr>
        <w:br/>
      </w:r>
    </w:p>
    <w:p w14:paraId="70D11C5E" w14:textId="77777777" w:rsidR="00BF4B36" w:rsidRPr="00BF4B36" w:rsidRDefault="00BF4B36" w:rsidP="00BF4B36">
      <w:pPr>
        <w:rPr>
          <w:sz w:val="22"/>
        </w:rPr>
      </w:pPr>
    </w:p>
    <w:sectPr w:rsidR="00BF4B36" w:rsidRPr="00BF4B36" w:rsidSect="000F6D00">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00A92" w14:textId="77777777" w:rsidR="00640778" w:rsidRDefault="00640778" w:rsidP="00785717">
      <w:pPr>
        <w:spacing w:line="240" w:lineRule="auto"/>
      </w:pPr>
      <w:r>
        <w:separator/>
      </w:r>
    </w:p>
  </w:endnote>
  <w:endnote w:type="continuationSeparator" w:id="0">
    <w:p w14:paraId="239DA4A8" w14:textId="77777777" w:rsidR="00640778" w:rsidRDefault="00640778"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panose1 w:val="020B0502040504020204"/>
    <w:charset w:val="00"/>
    <w:family w:val="swiss"/>
    <w:pitch w:val="variable"/>
    <w:sig w:usb0="E00082FF" w:usb1="4000205F" w:usb2="08000029"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0F32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23E4" w14:textId="77777777" w:rsidR="00785717" w:rsidRDefault="000F6D00" w:rsidP="00785717">
    <w:pPr>
      <w:pStyle w:val="Footer"/>
    </w:pPr>
    <w:r>
      <w:rPr>
        <w:noProof/>
      </w:rPr>
      <w:drawing>
        <wp:anchor distT="0" distB="0" distL="114300" distR="114300" simplePos="0" relativeHeight="251659264" behindDoc="0" locked="0" layoutInCell="1" allowOverlap="1" wp14:anchorId="5F1A3A08" wp14:editId="0C311E39">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536137F7" wp14:editId="53ACCE9A">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3FA95"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2C07EB" w14:textId="77777777" w:rsidR="00640778" w:rsidRDefault="00640778" w:rsidP="00785717">
      <w:pPr>
        <w:spacing w:line="240" w:lineRule="auto"/>
      </w:pPr>
      <w:r>
        <w:separator/>
      </w:r>
    </w:p>
  </w:footnote>
  <w:footnote w:type="continuationSeparator" w:id="0">
    <w:p w14:paraId="72CA89E8" w14:textId="77777777" w:rsidR="00640778" w:rsidRDefault="00640778"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7E0BA"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E5D583" w14:textId="77777777" w:rsidR="000F6D00" w:rsidRDefault="002766D9">
    <w:pPr>
      <w:pStyle w:val="Header"/>
    </w:pPr>
    <w:r>
      <w:rPr>
        <w:noProof/>
      </w:rPr>
      <w:drawing>
        <wp:anchor distT="0" distB="0" distL="114300" distR="114300" simplePos="0" relativeHeight="251661312" behindDoc="0" locked="0" layoutInCell="1" allowOverlap="1" wp14:anchorId="652D8042" wp14:editId="1D9E5B1D">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1E02A"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64D"/>
    <w:rsid w:val="0002201E"/>
    <w:rsid w:val="000F6D00"/>
    <w:rsid w:val="00113106"/>
    <w:rsid w:val="001D743C"/>
    <w:rsid w:val="002766D9"/>
    <w:rsid w:val="002C3337"/>
    <w:rsid w:val="002E7628"/>
    <w:rsid w:val="00372E92"/>
    <w:rsid w:val="0039066B"/>
    <w:rsid w:val="00432877"/>
    <w:rsid w:val="005272B1"/>
    <w:rsid w:val="005524DB"/>
    <w:rsid w:val="005741C7"/>
    <w:rsid w:val="005C5BEB"/>
    <w:rsid w:val="0060122E"/>
    <w:rsid w:val="00640778"/>
    <w:rsid w:val="00647055"/>
    <w:rsid w:val="00660F46"/>
    <w:rsid w:val="00682566"/>
    <w:rsid w:val="00785717"/>
    <w:rsid w:val="007D160B"/>
    <w:rsid w:val="008220B7"/>
    <w:rsid w:val="00823B77"/>
    <w:rsid w:val="008916A8"/>
    <w:rsid w:val="008B6461"/>
    <w:rsid w:val="008E7573"/>
    <w:rsid w:val="008F3E38"/>
    <w:rsid w:val="008F74D8"/>
    <w:rsid w:val="00931996"/>
    <w:rsid w:val="00943A95"/>
    <w:rsid w:val="009A1716"/>
    <w:rsid w:val="009A1DEC"/>
    <w:rsid w:val="009D24E2"/>
    <w:rsid w:val="009D6280"/>
    <w:rsid w:val="009E564D"/>
    <w:rsid w:val="00A34918"/>
    <w:rsid w:val="00A41EAD"/>
    <w:rsid w:val="00AB11DA"/>
    <w:rsid w:val="00B23C3C"/>
    <w:rsid w:val="00B546C5"/>
    <w:rsid w:val="00BB4E36"/>
    <w:rsid w:val="00BC7C15"/>
    <w:rsid w:val="00BF4B36"/>
    <w:rsid w:val="00C063FE"/>
    <w:rsid w:val="00C44603"/>
    <w:rsid w:val="00C541FE"/>
    <w:rsid w:val="00CF1AD5"/>
    <w:rsid w:val="00D11C75"/>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75E0C"/>
  <w15:chartTrackingRefBased/>
  <w15:docId w15:val="{C5FE791E-4976-45BD-8795-31D7E3D9B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de.Taylor-Salazar@domino-uk.com" TargetMode="External"/><Relationship Id="rId13"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yperlink" Target="file:///\\dps.local\Group\Domino\Marketing\Group_Marketing\Brand_Content_&amp;_PR_Marketing\PR\Press%20Releases\1%20PR%20info\Regional%20disclaimer%20and%20boilerplate\www.domino-spain.com"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s://www.domino-printing.com/es-es/home.aspx?utm_medium=non-paid&amp;utm_source=onlinepublication&amp;utm_content=starting-the-2d-code-journey-sb-es&amp;utm_campaign=2026-int-es-global-pr-cm-fy25-q4" TargetMode="External"/><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mailto:dafne.petracca@domino-spain.com"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_Taylor-Salazar\AppData\Roaming\Microsoft\Templates\header%20and%20foot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header and footer</Template>
  <TotalTime>4</TotalTime>
  <Pages>6</Pages>
  <Words>1736</Words>
  <Characters>9899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Jade Taylor-Salazar</dc:creator>
  <cp:keywords/>
  <dc:description/>
  <cp:lastModifiedBy>Jade Taylor-Salazar</cp:lastModifiedBy>
  <cp:revision>6</cp:revision>
  <dcterms:created xsi:type="dcterms:W3CDTF">2026-06-08T12:55:00Z</dcterms:created>
  <dcterms:modified xsi:type="dcterms:W3CDTF">2026-06-12T09:34:00Z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8c460ca5-f23d-4821-b40e-ba4a1f2458c0</vt:lpwstr>
  </property>
</Properties>
</file>