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407A" w14:textId="261529B6" w:rsidR="00DE40B4" w:rsidRPr="002377DC" w:rsidRDefault="00235281" w:rsidP="00DE40B4">
      <w:pPr>
        <w:rPr>
          <w:rFonts w:ascii="Noto Sans" w:eastAsia="Calibri" w:hAnsi="Noto Sans" w:cs="Noto Sans"/>
          <w:b/>
          <w:bCs/>
          <w:color w:val="262626" w:themeColor="text1" w:themeTint="D9"/>
          <w:sz w:val="28"/>
          <w:szCs w:val="28"/>
        </w:rPr>
      </w:pPr>
      <w:r w:rsidRPr="002377DC">
        <w:rPr>
          <w:rFonts w:ascii="Noto Sans" w:eastAsia="Calibri" w:hAnsi="Noto Sans" w:cs="Noto Sans"/>
          <w:b/>
          <w:bCs/>
          <w:color w:val="262626" w:themeColor="text1" w:themeTint="D9"/>
          <w:sz w:val="28"/>
          <w:szCs w:val="28"/>
          <w:lang w:val="es-ES"/>
        </w:rPr>
        <w:t>Domino en interpack 2026: integración y automatización para los códigos 2D</w:t>
      </w:r>
    </w:p>
    <w:p w14:paraId="17C40B4A" w14:textId="77777777" w:rsidR="00DE40B4" w:rsidRDefault="00DE40B4" w:rsidP="00DE40B4">
      <w:pPr>
        <w:rPr>
          <w:rFonts w:ascii="Noto Sans" w:eastAsia="Calibri" w:hAnsi="Noto Sans" w:cs="Noto Sans"/>
          <w:b/>
          <w:color w:val="262626" w:themeColor="text1" w:themeTint="D9"/>
          <w:sz w:val="20"/>
          <w:szCs w:val="20"/>
        </w:rPr>
      </w:pPr>
    </w:p>
    <w:p w14:paraId="1E3961C9" w14:textId="1DB3708C" w:rsidR="00DE40B4" w:rsidRPr="002377DC" w:rsidRDefault="007668ED" w:rsidP="00DE40B4">
      <w:pPr>
        <w:rPr>
          <w:rFonts w:ascii="Noto Sans" w:eastAsia="Calibri" w:hAnsi="Noto Sans" w:cs="Noto Sans"/>
          <w:bCs/>
          <w:color w:val="262626" w:themeColor="text1" w:themeTint="D9"/>
          <w:sz w:val="22"/>
          <w:szCs w:val="22"/>
        </w:rPr>
      </w:pPr>
      <w:hyperlink r:id="rId6" w:history="1">
        <w:r w:rsidR="00DE40B4" w:rsidRPr="007668ED">
          <w:rPr>
            <w:rStyle w:val="Hyperlink"/>
            <w:rFonts w:ascii="Noto Sans" w:eastAsia="Calibri" w:hAnsi="Noto Sans" w:cs="Noto Sans"/>
            <w:sz w:val="22"/>
            <w:szCs w:val="22"/>
            <w:lang w:val="es-ES"/>
          </w:rPr>
          <w:t xml:space="preserve">Domino Printing </w:t>
        </w:r>
        <w:proofErr w:type="spellStart"/>
        <w:r w:rsidR="00DE40B4" w:rsidRPr="007668ED">
          <w:rPr>
            <w:rStyle w:val="Hyperlink"/>
            <w:rFonts w:ascii="Noto Sans" w:eastAsia="Calibri" w:hAnsi="Noto Sans" w:cs="Noto Sans"/>
            <w:sz w:val="22"/>
            <w:szCs w:val="22"/>
            <w:lang w:val="es-ES"/>
          </w:rPr>
          <w:t>Sciences</w:t>
        </w:r>
        <w:proofErr w:type="spellEnd"/>
      </w:hyperlink>
      <w:r w:rsidR="00DE40B4" w:rsidRPr="002377DC">
        <w:rPr>
          <w:rFonts w:ascii="Noto Sans" w:eastAsia="Calibri" w:hAnsi="Noto Sans" w:cs="Noto Sans"/>
          <w:color w:val="262626" w:themeColor="text1" w:themeTint="D9"/>
          <w:sz w:val="22"/>
          <w:szCs w:val="22"/>
          <w:lang w:val="es-ES"/>
        </w:rPr>
        <w:t xml:space="preserve"> (Domino) reunió la experiencia del sector con prácticas soluciones llave en mano en interpack 2026 para explorar cómo la integración, la automatización y los flujos de trabajo inteligentes están transformando la fabricación, y haciendo posible la próxima generación de impresión de datos variables y codificación avanzadas. </w:t>
      </w:r>
    </w:p>
    <w:p w14:paraId="30085698" w14:textId="77777777" w:rsidR="0081384D" w:rsidRPr="002377DC" w:rsidRDefault="0081384D" w:rsidP="0081384D">
      <w:pPr>
        <w:rPr>
          <w:rFonts w:ascii="Noto Sans" w:hAnsi="Noto Sans" w:cs="Noto Sans"/>
          <w:bCs/>
          <w:sz w:val="22"/>
          <w:szCs w:val="22"/>
        </w:rPr>
      </w:pPr>
    </w:p>
    <w:p w14:paraId="4B3B257D" w14:textId="0245F1AD" w:rsidR="00583EFB" w:rsidRPr="002377DC" w:rsidRDefault="00235281" w:rsidP="009D765C">
      <w:pPr>
        <w:rPr>
          <w:rFonts w:ascii="Noto Sans" w:hAnsi="Noto Sans" w:cs="Noto Sans"/>
          <w:bCs/>
          <w:sz w:val="22"/>
          <w:szCs w:val="22"/>
        </w:rPr>
      </w:pPr>
      <w:r w:rsidRPr="002377DC">
        <w:rPr>
          <w:rFonts w:ascii="Noto Sans" w:hAnsi="Noto Sans" w:cs="Noto Sans"/>
          <w:sz w:val="22"/>
          <w:szCs w:val="22"/>
          <w:lang w:val="es-ES"/>
        </w:rPr>
        <w:t xml:space="preserve">Como reflejo de este cambio, Domino informó de una clara evolución en las conversaciones con los clientes, con visitantes de una amplia gama de empresas de bienes de consumo rápido (FMCG), farmacéuticas e industriales que van más allá del conocimiento de los códigos 2D. El enfoque se ha desplazado hacia los retos prácticos de implementar estrategias avanzadas de impresión de datos variables, incluidos los códigos 2D, a gran escala sin comprometer la velocidad de producción, la eficiencia o los objetivos de sostenibilidad. </w:t>
      </w:r>
    </w:p>
    <w:p w14:paraId="7E72A6AB" w14:textId="77777777" w:rsidR="00583EFB" w:rsidRPr="002377DC" w:rsidRDefault="00583EFB" w:rsidP="009D765C">
      <w:pPr>
        <w:rPr>
          <w:rFonts w:ascii="Noto Sans" w:hAnsi="Noto Sans" w:cs="Noto Sans"/>
          <w:bCs/>
          <w:sz w:val="22"/>
          <w:szCs w:val="22"/>
        </w:rPr>
      </w:pPr>
    </w:p>
    <w:p w14:paraId="27EC668E" w14:textId="6CB8F1D8" w:rsidR="009D765C" w:rsidRPr="002377DC" w:rsidRDefault="009D765C" w:rsidP="009D765C">
      <w:pPr>
        <w:rPr>
          <w:rFonts w:ascii="Noto Sans" w:hAnsi="Noto Sans" w:cs="Noto Sans"/>
          <w:sz w:val="22"/>
          <w:szCs w:val="22"/>
        </w:rPr>
      </w:pPr>
      <w:r w:rsidRPr="002377DC">
        <w:rPr>
          <w:rFonts w:ascii="Noto Sans" w:hAnsi="Noto Sans" w:cs="Noto Sans"/>
          <w:sz w:val="22"/>
          <w:szCs w:val="22"/>
          <w:lang w:val="es-ES"/>
        </w:rPr>
        <w:t xml:space="preserve">"La conversación ha pasado de '¿qué son los códigos 2D?' a '¿cómo hacemos que funcionen?'", afirma Craig Stobie, Global Sector Development </w:t>
      </w:r>
      <w:proofErr w:type="gramStart"/>
      <w:r w:rsidRPr="002377DC">
        <w:rPr>
          <w:rFonts w:ascii="Noto Sans" w:hAnsi="Noto Sans" w:cs="Noto Sans"/>
          <w:sz w:val="22"/>
          <w:szCs w:val="22"/>
          <w:lang w:val="es-ES"/>
        </w:rPr>
        <w:t>Director</w:t>
      </w:r>
      <w:proofErr w:type="gramEnd"/>
      <w:r w:rsidRPr="002377DC">
        <w:rPr>
          <w:rFonts w:ascii="Noto Sans" w:hAnsi="Noto Sans" w:cs="Noto Sans"/>
          <w:sz w:val="22"/>
          <w:szCs w:val="22"/>
          <w:lang w:val="es-ES"/>
        </w:rPr>
        <w:t xml:space="preserve"> en Domino. "Los fabricantes quieren saber cómo pueden obtener los beneficios de la implementación de códigos 2D de datos variables sin comprometer la velocidad, la eficiencia o los compromisos de sostenibilidad, y buscan socios con experiencia en el mundo real para que los apoyen en este proceso". </w:t>
      </w:r>
    </w:p>
    <w:p w14:paraId="4577E471" w14:textId="77777777" w:rsidR="0081384D" w:rsidRPr="002377DC" w:rsidRDefault="0081384D" w:rsidP="0081384D">
      <w:pPr>
        <w:rPr>
          <w:rFonts w:ascii="Noto Sans" w:hAnsi="Noto Sans" w:cs="Noto Sans"/>
          <w:sz w:val="22"/>
          <w:szCs w:val="22"/>
        </w:rPr>
      </w:pPr>
    </w:p>
    <w:p w14:paraId="290AD762" w14:textId="4B6AC4B3" w:rsidR="0081384D" w:rsidRPr="002377DC" w:rsidRDefault="004F5E1A" w:rsidP="0081384D">
      <w:pPr>
        <w:rPr>
          <w:rFonts w:ascii="Noto Sans" w:hAnsi="Noto Sans" w:cs="Noto Sans"/>
          <w:sz w:val="22"/>
          <w:szCs w:val="22"/>
        </w:rPr>
      </w:pPr>
      <w:r w:rsidRPr="002377DC">
        <w:rPr>
          <w:rFonts w:ascii="Noto Sans" w:hAnsi="Noto Sans" w:cs="Noto Sans"/>
          <w:sz w:val="22"/>
          <w:szCs w:val="22"/>
          <w:lang w:val="es-ES"/>
        </w:rPr>
        <w:t>Un tema clave a lo largo de la feria fue la necesidad de ir más allá de las soluciones de codificación independientes hacia sistemas conectados e integrados, diseñados para respaldar la implementación exitosa de los códigos 2D. Los visitantes mostraron un creciente interés en la personalización en la última etapa, la automatización de la línea de producción, los sistemas de visión para el control de calidad y las soluciones llave en mano para simplificar la implementación.</w:t>
      </w:r>
    </w:p>
    <w:p w14:paraId="0ABF2D29" w14:textId="77777777" w:rsidR="0081384D" w:rsidRPr="002377DC" w:rsidRDefault="0081384D" w:rsidP="0081384D">
      <w:pPr>
        <w:rPr>
          <w:rFonts w:ascii="Noto Sans" w:hAnsi="Noto Sans" w:cs="Noto Sans"/>
          <w:sz w:val="22"/>
          <w:szCs w:val="22"/>
        </w:rPr>
      </w:pPr>
    </w:p>
    <w:p w14:paraId="737EE112" w14:textId="0E22E083" w:rsidR="00131F13" w:rsidRPr="002377DC" w:rsidRDefault="00131F13" w:rsidP="00131F13">
      <w:pPr>
        <w:rPr>
          <w:rFonts w:ascii="Noto Sans" w:hAnsi="Noto Sans" w:cs="Noto Sans"/>
          <w:sz w:val="22"/>
          <w:szCs w:val="22"/>
        </w:rPr>
      </w:pPr>
      <w:r w:rsidRPr="002377DC">
        <w:rPr>
          <w:rFonts w:ascii="Noto Sans" w:hAnsi="Noto Sans" w:cs="Noto Sans"/>
          <w:sz w:val="22"/>
          <w:szCs w:val="22"/>
          <w:lang w:val="es-ES"/>
        </w:rPr>
        <w:t xml:space="preserve">"El cambio hacia los códigos 2D afecta a todo, desde la codificación y marcaje de productos hasta los sistemas empresariales, lo que hace que la conectividad y la integración sean más críticas que nunca", comenta Adem Kulauzovic, </w:t>
      </w:r>
      <w:proofErr w:type="gramStart"/>
      <w:r w:rsidRPr="002377DC">
        <w:rPr>
          <w:rFonts w:ascii="Noto Sans" w:hAnsi="Noto Sans" w:cs="Noto Sans"/>
          <w:sz w:val="22"/>
          <w:szCs w:val="22"/>
          <w:lang w:val="es-ES"/>
        </w:rPr>
        <w:t>Director</w:t>
      </w:r>
      <w:proofErr w:type="gramEnd"/>
      <w:r w:rsidRPr="002377DC">
        <w:rPr>
          <w:rFonts w:ascii="Noto Sans" w:hAnsi="Noto Sans" w:cs="Noto Sans"/>
          <w:sz w:val="22"/>
          <w:szCs w:val="22"/>
          <w:lang w:val="es-ES"/>
        </w:rPr>
        <w:t xml:space="preserve"> of Automation and Integration en Domino. "Los fabricantes reconocen cada vez más el valor de las soluciones conectadas que reducen la complejidad, garantizan la consistencia y respaldan la impresión de datos variables avanzada a gran escala".</w:t>
      </w:r>
    </w:p>
    <w:p w14:paraId="7EB5FA80" w14:textId="77777777" w:rsidR="00131F13" w:rsidRPr="002377DC" w:rsidRDefault="00131F13" w:rsidP="00131F13">
      <w:pPr>
        <w:rPr>
          <w:rFonts w:ascii="Noto Sans" w:hAnsi="Noto Sans" w:cs="Noto Sans"/>
          <w:sz w:val="22"/>
          <w:szCs w:val="22"/>
        </w:rPr>
      </w:pPr>
    </w:p>
    <w:p w14:paraId="7CD8AC3D" w14:textId="39F404B3" w:rsidR="000360FB" w:rsidRPr="002377DC" w:rsidRDefault="00131F13" w:rsidP="00131F13">
      <w:pPr>
        <w:rPr>
          <w:rFonts w:ascii="Noto Sans" w:hAnsi="Noto Sans" w:cs="Noto Sans"/>
          <w:sz w:val="22"/>
          <w:szCs w:val="22"/>
        </w:rPr>
      </w:pPr>
      <w:r w:rsidRPr="002377DC">
        <w:rPr>
          <w:rFonts w:ascii="Noto Sans" w:hAnsi="Noto Sans" w:cs="Noto Sans"/>
          <w:sz w:val="22"/>
          <w:szCs w:val="22"/>
          <w:lang w:val="es-ES"/>
        </w:rPr>
        <w:t xml:space="preserve">El enfoque integrado de Domino para la impresión de datos variables y los sistemas de codificación avanzados resonó fuertemente entre los asistentes. El stand mostró soluciones diseñadas para funcionar a la perfección de forma conjunta en la planta de producción, desarrolladas en colaboración con socios </w:t>
      </w:r>
      <w:r w:rsidRPr="002377DC">
        <w:rPr>
          <w:rFonts w:ascii="Noto Sans" w:hAnsi="Noto Sans" w:cs="Noto Sans"/>
          <w:sz w:val="22"/>
          <w:szCs w:val="22"/>
          <w:lang w:val="es-ES"/>
        </w:rPr>
        <w:lastRenderedPageBreak/>
        <w:t xml:space="preserve">del sector para reducir riesgos, agilizar la implementación y mejorar la eficiencia operativa. </w:t>
      </w:r>
    </w:p>
    <w:p w14:paraId="0C3A05E1" w14:textId="77777777" w:rsidR="000360FB" w:rsidRPr="002377DC" w:rsidRDefault="000360FB" w:rsidP="00131F13">
      <w:pPr>
        <w:rPr>
          <w:rFonts w:ascii="Noto Sans" w:hAnsi="Noto Sans" w:cs="Noto Sans"/>
          <w:sz w:val="22"/>
          <w:szCs w:val="22"/>
        </w:rPr>
      </w:pPr>
    </w:p>
    <w:p w14:paraId="3E023B74" w14:textId="74EA1078" w:rsidR="0081384D" w:rsidRPr="002377DC" w:rsidRDefault="00F03C0C" w:rsidP="0081384D">
      <w:pPr>
        <w:rPr>
          <w:rFonts w:ascii="Noto Sans" w:hAnsi="Noto Sans" w:cs="Noto Sans"/>
          <w:sz w:val="22"/>
          <w:szCs w:val="22"/>
        </w:rPr>
      </w:pPr>
      <w:r w:rsidRPr="002377DC">
        <w:rPr>
          <w:rFonts w:ascii="Noto Sans" w:hAnsi="Noto Sans" w:cs="Noto Sans"/>
          <w:sz w:val="22"/>
          <w:szCs w:val="22"/>
          <w:lang w:val="es-ES"/>
        </w:rPr>
        <w:t xml:space="preserve">Las tecnologías en exhibición incluyeron equipos </w:t>
      </w:r>
      <w:hyperlink r:id="rId7" w:history="1">
        <w:proofErr w:type="spellStart"/>
        <w:r w:rsidRPr="002377DC">
          <w:rPr>
            <w:rStyle w:val="Hyperlink"/>
            <w:rFonts w:ascii="Noto Sans" w:hAnsi="Noto Sans" w:cs="Noto Sans"/>
            <w:sz w:val="22"/>
            <w:szCs w:val="22"/>
            <w:lang w:val="es-ES"/>
          </w:rPr>
          <w:t>inkjet</w:t>
        </w:r>
        <w:proofErr w:type="spellEnd"/>
      </w:hyperlink>
      <w:r w:rsidRPr="002377DC">
        <w:rPr>
          <w:rFonts w:ascii="Noto Sans" w:hAnsi="Noto Sans" w:cs="Noto Sans"/>
          <w:sz w:val="22"/>
          <w:szCs w:val="22"/>
          <w:lang w:val="es-ES"/>
        </w:rPr>
        <w:t xml:space="preserve">, </w:t>
      </w:r>
      <w:hyperlink r:id="rId8" w:history="1">
        <w:r w:rsidRPr="002377DC">
          <w:rPr>
            <w:rStyle w:val="Hyperlink"/>
            <w:rFonts w:ascii="Noto Sans" w:hAnsi="Noto Sans" w:cs="Noto Sans"/>
            <w:sz w:val="22"/>
            <w:szCs w:val="22"/>
            <w:lang w:val="es-ES"/>
          </w:rPr>
          <w:t>láser</w:t>
        </w:r>
      </w:hyperlink>
      <w:r w:rsidRPr="002377DC">
        <w:rPr>
          <w:rFonts w:ascii="Noto Sans" w:hAnsi="Noto Sans" w:cs="Noto Sans"/>
          <w:sz w:val="22"/>
          <w:szCs w:val="22"/>
          <w:lang w:val="es-ES"/>
        </w:rPr>
        <w:t xml:space="preserve"> y </w:t>
      </w:r>
      <w:hyperlink r:id="rId9" w:history="1">
        <w:r w:rsidRPr="007C241D">
          <w:rPr>
            <w:rStyle w:val="Hyperlink"/>
            <w:rFonts w:ascii="Noto Sans" w:hAnsi="Noto Sans" w:cs="Noto Sans"/>
            <w:sz w:val="22"/>
            <w:szCs w:val="22"/>
            <w:lang w:val="es-ES"/>
          </w:rPr>
          <w:t>sistemas de etiquetado de palets</w:t>
        </w:r>
      </w:hyperlink>
      <w:r w:rsidRPr="002377DC">
        <w:rPr>
          <w:rFonts w:ascii="Noto Sans" w:hAnsi="Noto Sans" w:cs="Noto Sans"/>
          <w:sz w:val="22"/>
          <w:szCs w:val="22"/>
          <w:lang w:val="es-ES"/>
        </w:rPr>
        <w:t xml:space="preserve"> de alta velocidad capaces de producir códigos 2D compatibles con GS1, junto con soluciones integradas de visión y automatización para favorecer la precisión, reducir los residuos y permitir la trazabilidad de principio a fin. </w:t>
      </w:r>
    </w:p>
    <w:p w14:paraId="200B657C" w14:textId="77777777" w:rsidR="0060520F" w:rsidRPr="002377DC" w:rsidRDefault="0060520F" w:rsidP="0081384D">
      <w:pPr>
        <w:rPr>
          <w:rFonts w:ascii="Noto Sans" w:hAnsi="Noto Sans" w:cs="Noto Sans"/>
          <w:sz w:val="22"/>
          <w:szCs w:val="22"/>
        </w:rPr>
      </w:pPr>
    </w:p>
    <w:p w14:paraId="1FE83F55" w14:textId="0A9D0775" w:rsidR="000360FB" w:rsidRPr="002377DC" w:rsidRDefault="0081384D" w:rsidP="0081384D">
      <w:pPr>
        <w:rPr>
          <w:rFonts w:ascii="Noto Sans" w:hAnsi="Noto Sans" w:cs="Noto Sans"/>
          <w:sz w:val="22"/>
          <w:szCs w:val="22"/>
        </w:rPr>
      </w:pPr>
      <w:r w:rsidRPr="002377DC">
        <w:rPr>
          <w:rFonts w:ascii="Noto Sans" w:hAnsi="Noto Sans" w:cs="Noto Sans"/>
          <w:sz w:val="22"/>
          <w:szCs w:val="22"/>
          <w:lang w:val="es-ES"/>
        </w:rPr>
        <w:t>Las reflexiones del panel de debate en el stand de Domino con</w:t>
      </w:r>
      <w:hyperlink r:id="rId10" w:history="1">
        <w:r w:rsidRPr="007C241D">
          <w:rPr>
            <w:rStyle w:val="Hyperlink"/>
            <w:rFonts w:ascii="Noto Sans" w:hAnsi="Noto Sans" w:cs="Noto Sans"/>
            <w:sz w:val="22"/>
            <w:szCs w:val="22"/>
            <w:lang w:val="es-ES"/>
          </w:rPr>
          <w:t xml:space="preserve"> Amazon y GS1 Germany</w:t>
        </w:r>
      </w:hyperlink>
      <w:r w:rsidRPr="002377DC">
        <w:rPr>
          <w:rFonts w:ascii="Noto Sans" w:hAnsi="Noto Sans" w:cs="Noto Sans"/>
          <w:sz w:val="22"/>
          <w:szCs w:val="22"/>
          <w:lang w:val="es-ES"/>
        </w:rPr>
        <w:t xml:space="preserve"> reforzaron que la transición hacia los códigos 2D está en marcha. Los debates destacaron la importancia de los estándares, la interoperabilidad y la colaboración para garantizar la adopción exitosa de los códigos 2D en toda la cadena de valor. </w:t>
      </w:r>
    </w:p>
    <w:p w14:paraId="42EAECA8" w14:textId="77777777" w:rsidR="000360FB" w:rsidRPr="002377DC" w:rsidRDefault="000360FB" w:rsidP="0081384D">
      <w:pPr>
        <w:rPr>
          <w:rFonts w:ascii="Noto Sans" w:hAnsi="Noto Sans" w:cs="Noto Sans"/>
          <w:sz w:val="22"/>
          <w:szCs w:val="22"/>
        </w:rPr>
      </w:pPr>
    </w:p>
    <w:p w14:paraId="15022C9E" w14:textId="48EF440E" w:rsidR="000360FB" w:rsidRPr="002377DC" w:rsidRDefault="00DE40B4" w:rsidP="00DE40B4">
      <w:pPr>
        <w:rPr>
          <w:rFonts w:ascii="Noto Sans" w:hAnsi="Noto Sans" w:cs="Noto Sans"/>
          <w:sz w:val="22"/>
          <w:szCs w:val="22"/>
        </w:rPr>
      </w:pPr>
      <w:r w:rsidRPr="002377DC">
        <w:rPr>
          <w:rFonts w:ascii="Noto Sans" w:hAnsi="Noto Sans" w:cs="Noto Sans"/>
          <w:sz w:val="22"/>
          <w:szCs w:val="22"/>
          <w:lang w:val="es-ES"/>
        </w:rPr>
        <w:t xml:space="preserve">A medida que aumenta el impulso detrás de la adopción de los códigos 2D, y el enfoque del sector pasa del conocimiento a la ejecución, Domino mantiene su compromiso de apoyar a los fabricantes en cada etapa de su proceso como un socio de confianza en impresión de datos variables y codificación avanzadas. </w:t>
      </w:r>
    </w:p>
    <w:p w14:paraId="6CBFEC1E" w14:textId="77777777" w:rsidR="00583EFB" w:rsidRPr="002377DC" w:rsidRDefault="00583EFB" w:rsidP="00DE40B4">
      <w:pPr>
        <w:rPr>
          <w:rFonts w:ascii="Noto Sans" w:hAnsi="Noto Sans" w:cs="Noto Sans"/>
          <w:sz w:val="22"/>
          <w:szCs w:val="22"/>
        </w:rPr>
      </w:pPr>
    </w:p>
    <w:p w14:paraId="74F2E7DB" w14:textId="771A3D9C" w:rsidR="00583EFB" w:rsidRPr="002377DC" w:rsidRDefault="00583EFB" w:rsidP="00583EFB">
      <w:pPr>
        <w:rPr>
          <w:rFonts w:ascii="Noto Sans" w:hAnsi="Noto Sans" w:cs="Noto Sans"/>
          <w:sz w:val="22"/>
          <w:szCs w:val="22"/>
          <w:lang w:val="es-ES"/>
        </w:rPr>
      </w:pPr>
      <w:r w:rsidRPr="002377DC">
        <w:rPr>
          <w:rFonts w:ascii="Noto Sans" w:hAnsi="Noto Sans" w:cs="Noto Sans"/>
          <w:sz w:val="22"/>
          <w:szCs w:val="22"/>
          <w:lang w:val="es-ES"/>
        </w:rPr>
        <w:t xml:space="preserve">Para descubrir cómo Domino puede apoyarte en tu transición hacia los códigos 2D, visita la </w:t>
      </w:r>
      <w:hyperlink r:id="rId11" w:history="1">
        <w:r w:rsidRPr="007C241D">
          <w:rPr>
            <w:rStyle w:val="Hyperlink"/>
            <w:rFonts w:ascii="Noto Sans" w:hAnsi="Noto Sans" w:cs="Noto Sans"/>
            <w:sz w:val="22"/>
            <w:szCs w:val="22"/>
            <w:lang w:val="es-ES"/>
          </w:rPr>
          <w:t>página web.</w:t>
        </w:r>
      </w:hyperlink>
      <w:r w:rsidRPr="002377DC">
        <w:rPr>
          <w:rFonts w:ascii="Noto Sans" w:hAnsi="Noto Sans" w:cs="Noto Sans"/>
          <w:sz w:val="22"/>
          <w:szCs w:val="22"/>
          <w:lang w:val="es-ES"/>
        </w:rPr>
        <w:t xml:space="preserve"> </w:t>
      </w:r>
    </w:p>
    <w:p w14:paraId="755ADB68" w14:textId="77777777" w:rsidR="002377DC" w:rsidRPr="002377DC" w:rsidRDefault="002377DC" w:rsidP="00583EFB">
      <w:pPr>
        <w:rPr>
          <w:rFonts w:ascii="Noto Sans" w:hAnsi="Noto Sans" w:cs="Noto Sans"/>
          <w:sz w:val="22"/>
          <w:szCs w:val="22"/>
          <w:lang w:val="es-ES"/>
        </w:rPr>
      </w:pPr>
    </w:p>
    <w:p w14:paraId="18CEAF4E" w14:textId="4CEBE992" w:rsidR="002377DC" w:rsidRDefault="002377DC" w:rsidP="00583EFB">
      <w:pPr>
        <w:rPr>
          <w:rFonts w:ascii="Noto Sans" w:hAnsi="Noto Sans" w:cs="Noto Sans"/>
          <w:sz w:val="22"/>
          <w:szCs w:val="22"/>
          <w:lang w:val="es-ES"/>
        </w:rPr>
      </w:pPr>
      <w:r w:rsidRPr="002377DC">
        <w:rPr>
          <w:rFonts w:ascii="Noto Sans" w:hAnsi="Noto Sans" w:cs="Noto Sans"/>
          <w:sz w:val="22"/>
          <w:szCs w:val="22"/>
          <w:lang w:val="es-ES"/>
        </w:rPr>
        <w:t>&lt;</w:t>
      </w:r>
      <w:r w:rsidRPr="002377DC">
        <w:rPr>
          <w:rFonts w:ascii="Noto Sans" w:hAnsi="Noto Sans" w:cs="Noto Sans"/>
          <w:b/>
          <w:bCs/>
          <w:sz w:val="22"/>
          <w:szCs w:val="22"/>
          <w:lang w:val="es-ES"/>
        </w:rPr>
        <w:t>FIN</w:t>
      </w:r>
      <w:r w:rsidRPr="002377DC">
        <w:rPr>
          <w:rFonts w:ascii="Noto Sans" w:hAnsi="Noto Sans" w:cs="Noto Sans"/>
          <w:sz w:val="22"/>
          <w:szCs w:val="22"/>
          <w:lang w:val="es-ES"/>
        </w:rPr>
        <w:t>&gt;</w:t>
      </w:r>
    </w:p>
    <w:p w14:paraId="37BFB353" w14:textId="77777777" w:rsidR="002377DC" w:rsidRDefault="002377DC" w:rsidP="00583EFB">
      <w:pPr>
        <w:rPr>
          <w:rFonts w:ascii="Noto Sans" w:hAnsi="Noto Sans" w:cs="Noto Sans"/>
          <w:sz w:val="22"/>
          <w:szCs w:val="22"/>
          <w:lang w:val="es-ES"/>
        </w:rPr>
      </w:pPr>
    </w:p>
    <w:p w14:paraId="74A2FD39" w14:textId="77777777" w:rsidR="002377DC" w:rsidRPr="00024078" w:rsidRDefault="002377DC" w:rsidP="002377DC">
      <w:pPr>
        <w:rPr>
          <w:rFonts w:ascii="Noto Sans" w:hAnsi="Noto Sans" w:cs="Noto Sans"/>
          <w:sz w:val="20"/>
          <w:szCs w:val="20"/>
          <w:lang w:val="es-ES"/>
        </w:rPr>
      </w:pPr>
      <w:bookmarkStart w:id="0" w:name="_Hlk531088985"/>
      <w:r>
        <w:rPr>
          <w:rFonts w:ascii="Noto Sans" w:hAnsi="Noto Sans" w:cs="Noto Sans"/>
          <w:b/>
          <w:bCs/>
          <w:sz w:val="20"/>
          <w:szCs w:val="20"/>
          <w:lang w:val="es"/>
        </w:rPr>
        <w:t>Descargo de responsabilidad</w:t>
      </w:r>
      <w:r>
        <w:rPr>
          <w:rFonts w:ascii="Noto Sans" w:hAnsi="Noto Sans" w:cs="Noto Sans"/>
          <w:sz w:val="20"/>
          <w:szCs w:val="20"/>
          <w:lang w:val="es"/>
        </w:rPr>
        <w:br/>
      </w:r>
      <w:bookmarkEnd w:id="0"/>
    </w:p>
    <w:p w14:paraId="2BD97C9A" w14:textId="77777777" w:rsidR="002377DC" w:rsidRPr="00024078" w:rsidRDefault="002377DC" w:rsidP="002377DC">
      <w:pPr>
        <w:rPr>
          <w:rFonts w:ascii="Noto Sans" w:hAnsi="Noto Sans" w:cs="Noto Sans"/>
          <w:sz w:val="20"/>
          <w:szCs w:val="20"/>
          <w:lang w:val="es-ES"/>
        </w:rPr>
      </w:pPr>
      <w:r>
        <w:rPr>
          <w:rFonts w:ascii="Noto Sans" w:hAnsi="Noto Sans" w:cs="Noto Sans"/>
          <w:b/>
          <w:bCs/>
          <w:sz w:val="20"/>
          <w:szCs w:val="20"/>
          <w:lang w:val="es"/>
        </w:rPr>
        <w:t>Tintas</w:t>
      </w:r>
      <w:r>
        <w:rPr>
          <w:rFonts w:ascii="Noto Sans" w:hAnsi="Noto Sans" w:cs="Noto Sans"/>
          <w:sz w:val="20"/>
          <w:szCs w:val="20"/>
          <w:lang w:val="es"/>
        </w:rPr>
        <w:br/>
        <w:t xml:space="preserve">La información contenida en este documento no pretende sustituir la realización de las pruebas correspondientes a su uso y circunstancias específicas. Ni Domino UK </w:t>
      </w:r>
      <w:proofErr w:type="spellStart"/>
      <w:r>
        <w:rPr>
          <w:rFonts w:ascii="Noto Sans" w:hAnsi="Noto Sans" w:cs="Noto Sans"/>
          <w:sz w:val="20"/>
          <w:szCs w:val="20"/>
          <w:lang w:val="es"/>
        </w:rPr>
        <w:t>Limited</w:t>
      </w:r>
      <w:proofErr w:type="spellEnd"/>
      <w:r>
        <w:rPr>
          <w:rFonts w:ascii="Noto Sans" w:hAnsi="Noto Sans" w:cs="Noto Sans"/>
          <w:sz w:val="20"/>
          <w:szCs w:val="20"/>
          <w:lang w:val="es"/>
        </w:rPr>
        <w:t xml:space="preserve"> ni ninguna de las empresas del grupo Domino es responsable en ninguna medida del hecho de que usted pueda basar en este documento su confianza respecto a la adecuación de cualquier tinta para su tipo determinado de aplicación. Este documento no forma parte de ningún escrito de términos y condiciones entre usted y Domino, y los términos y condiciones de venta de Domino y, en especial las garantías y responsabilidades contenidas en los mismos, serán aplicables a toda compra de productos que usted haga. </w:t>
      </w:r>
    </w:p>
    <w:p w14:paraId="518DF464" w14:textId="77777777" w:rsidR="002377DC" w:rsidRPr="00024078" w:rsidRDefault="002377DC" w:rsidP="002377DC">
      <w:pPr>
        <w:rPr>
          <w:rFonts w:ascii="Noto Sans" w:hAnsi="Noto Sans" w:cs="Noto Sans"/>
          <w:sz w:val="20"/>
          <w:szCs w:val="20"/>
          <w:lang w:val="es-ES"/>
        </w:rPr>
      </w:pPr>
    </w:p>
    <w:p w14:paraId="4DE56F01" w14:textId="77777777" w:rsidR="002377DC" w:rsidRPr="00024078" w:rsidRDefault="002377DC" w:rsidP="002377DC">
      <w:pPr>
        <w:rPr>
          <w:rFonts w:ascii="Noto Sans" w:hAnsi="Noto Sans" w:cs="Noto Sans"/>
          <w:sz w:val="20"/>
          <w:szCs w:val="20"/>
          <w:lang w:val="es-ES"/>
        </w:rPr>
      </w:pPr>
      <w:r>
        <w:rPr>
          <w:rFonts w:ascii="Noto Sans" w:hAnsi="Noto Sans" w:cs="Noto Sans"/>
          <w:b/>
          <w:bCs/>
          <w:sz w:val="20"/>
          <w:szCs w:val="20"/>
          <w:lang w:val="es"/>
        </w:rPr>
        <w:t>Información general</w:t>
      </w:r>
      <w:r>
        <w:rPr>
          <w:rFonts w:ascii="Noto Sans" w:hAnsi="Noto Sans" w:cs="Noto Sans"/>
          <w:sz w:val="20"/>
          <w:szCs w:val="20"/>
          <w:lang w:val="es"/>
        </w:rPr>
        <w:br/>
        <w:t xml:space="preserve">La información contenida en este comunicado de prensa se considera verdadera y correcta en la fecha de publicación de Domino; los cambios en las circunstancias tras el momento de publicación pueden afectar a la precisión de </w:t>
      </w:r>
      <w:proofErr w:type="gramStart"/>
      <w:r>
        <w:rPr>
          <w:rFonts w:ascii="Noto Sans" w:hAnsi="Noto Sans" w:cs="Noto Sans"/>
          <w:sz w:val="20"/>
          <w:szCs w:val="20"/>
          <w:lang w:val="es"/>
        </w:rPr>
        <w:t>la misma</w:t>
      </w:r>
      <w:proofErr w:type="gramEnd"/>
      <w:r>
        <w:rPr>
          <w:rFonts w:ascii="Noto Sans" w:hAnsi="Noto Sans" w:cs="Noto Sans"/>
          <w:sz w:val="20"/>
          <w:szCs w:val="20"/>
          <w:lang w:val="es"/>
        </w:rPr>
        <w:t xml:space="preserve">. 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escrito de términos y condiciones entre usted y Domino. </w:t>
      </w:r>
    </w:p>
    <w:p w14:paraId="75E0488F" w14:textId="77777777" w:rsidR="002377DC" w:rsidRPr="00024078" w:rsidRDefault="002377DC" w:rsidP="002377DC">
      <w:pPr>
        <w:rPr>
          <w:rFonts w:ascii="Noto Sans" w:hAnsi="Noto Sans" w:cs="Noto Sans"/>
          <w:sz w:val="20"/>
          <w:szCs w:val="20"/>
          <w:lang w:val="es-ES"/>
        </w:rPr>
      </w:pPr>
      <w:r>
        <w:rPr>
          <w:rFonts w:ascii="Noto Sans" w:hAnsi="Noto Sans" w:cs="Noto Sans"/>
          <w:sz w:val="20"/>
          <w:szCs w:val="20"/>
          <w:lang w:val="es"/>
        </w:rPr>
        <w:lastRenderedPageBreak/>
        <w:br/>
      </w:r>
      <w:r>
        <w:rPr>
          <w:rFonts w:ascii="Noto Sans" w:hAnsi="Noto Sans" w:cs="Noto Sans"/>
          <w:sz w:val="20"/>
          <w:szCs w:val="20"/>
          <w:lang w:val="es"/>
        </w:rPr>
        <w:br/>
      </w:r>
      <w:r>
        <w:rPr>
          <w:rFonts w:ascii="Noto Sans" w:hAnsi="Noto Sans" w:cs="Noto Sans"/>
          <w:b/>
          <w:bCs/>
          <w:sz w:val="20"/>
          <w:szCs w:val="20"/>
          <w:lang w:val="es"/>
        </w:rPr>
        <w:t>Imágenes</w:t>
      </w:r>
      <w:r>
        <w:rPr>
          <w:rFonts w:ascii="Noto Sans" w:hAnsi="Noto Sans" w:cs="Noto Sans"/>
          <w:sz w:val="20"/>
          <w:szCs w:val="20"/>
          <w:lang w:val="es"/>
        </w:rPr>
        <w:br/>
        <w:t xml:space="preserve">Las imágenes pueden incluir extras opcionales o actualizaciones. La calidad de impresión puede variar en función de los consumibles, la impresora, los sustratos y otros factores. Las imágenes y las fotografías no forman parte de ningún escrito de términos y condiciones entre usted y Domino. </w:t>
      </w:r>
      <w:r>
        <w:rPr>
          <w:rFonts w:ascii="Noto Sans" w:hAnsi="Noto Sans" w:cs="Noto Sans"/>
          <w:sz w:val="20"/>
          <w:szCs w:val="20"/>
          <w:lang w:val="es"/>
        </w:rPr>
        <w:br/>
      </w:r>
      <w:r>
        <w:rPr>
          <w:rFonts w:ascii="Noto Sans" w:hAnsi="Noto Sans" w:cs="Noto Sans"/>
          <w:sz w:val="20"/>
          <w:szCs w:val="20"/>
          <w:lang w:val="es"/>
        </w:rPr>
        <w:br/>
      </w:r>
      <w:r>
        <w:rPr>
          <w:rFonts w:ascii="Noto Sans" w:hAnsi="Noto Sans" w:cs="Noto Sans"/>
          <w:b/>
          <w:bCs/>
          <w:sz w:val="20"/>
          <w:szCs w:val="20"/>
          <w:lang w:val="es"/>
        </w:rPr>
        <w:t>Vídeos</w:t>
      </w:r>
      <w:r>
        <w:rPr>
          <w:rFonts w:ascii="Noto Sans" w:hAnsi="Noto Sans" w:cs="Noto Sans"/>
          <w:sz w:val="20"/>
          <w:szCs w:val="20"/>
          <w:lang w:val="es"/>
        </w:rPr>
        <w:b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Pr>
          <w:rFonts w:ascii="Noto Sans" w:hAnsi="Noto Sans" w:cs="Noto Sans"/>
          <w:sz w:val="20"/>
          <w:szCs w:val="20"/>
          <w:lang w:val="es"/>
        </w:rPr>
        <w:br/>
      </w:r>
      <w:r>
        <w:rPr>
          <w:rFonts w:ascii="Noto Sans" w:hAnsi="Noto Sans" w:cs="Noto Sans"/>
          <w:sz w:val="20"/>
          <w:szCs w:val="20"/>
          <w:lang w:val="es"/>
        </w:rPr>
        <w:br/>
      </w:r>
      <w:bookmarkStart w:id="1" w:name="_Hlk61949672"/>
      <w:r>
        <w:rPr>
          <w:rFonts w:ascii="Noto Sans" w:hAnsi="Noto Sans" w:cs="Noto Sans"/>
          <w:sz w:val="20"/>
          <w:szCs w:val="20"/>
          <w:lang w:val="es"/>
        </w:rPr>
        <w:br/>
      </w:r>
      <w:r>
        <w:rPr>
          <w:rFonts w:ascii="Noto Sans" w:hAnsi="Noto Sans" w:cs="Noto Sans"/>
          <w:b/>
          <w:bCs/>
          <w:sz w:val="20"/>
          <w:szCs w:val="20"/>
          <w:lang w:val="es"/>
        </w:rPr>
        <w:t>Notas para los editores:</w:t>
      </w:r>
      <w:r>
        <w:rPr>
          <w:rFonts w:ascii="Noto Sans" w:hAnsi="Noto Sans" w:cs="Noto Sans"/>
          <w:sz w:val="20"/>
          <w:szCs w:val="20"/>
          <w:lang w:val="es"/>
        </w:rPr>
        <w:br/>
      </w:r>
      <w:r>
        <w:rPr>
          <w:rFonts w:ascii="Noto Sans" w:hAnsi="Noto Sans" w:cs="Noto Sans"/>
          <w:sz w:val="20"/>
          <w:szCs w:val="20"/>
          <w:lang w:val="es"/>
        </w:rPr>
        <w:br/>
      </w:r>
      <w:r>
        <w:rPr>
          <w:rFonts w:ascii="Noto Sans" w:hAnsi="Noto Sans" w:cs="Noto Sans"/>
          <w:b/>
          <w:bCs/>
          <w:sz w:val="20"/>
          <w:szCs w:val="20"/>
          <w:lang w:val="es"/>
        </w:rPr>
        <w:t>Acerca de Domino</w:t>
      </w:r>
      <w:r>
        <w:rPr>
          <w:rFonts w:ascii="Noto Sans" w:hAnsi="Noto Sans" w:cs="Noto Sans"/>
          <w:sz w:val="20"/>
          <w:szCs w:val="20"/>
          <w:lang w:val="es"/>
        </w:rPr>
        <w:br/>
      </w:r>
      <w:r>
        <w:rPr>
          <w:rFonts w:ascii="Noto Sans" w:hAnsi="Noto Sans" w:cs="Noto Sans"/>
          <w:sz w:val="20"/>
          <w:szCs w:val="20"/>
          <w:lang w:val="es"/>
        </w:rPr>
        <w:br/>
      </w:r>
      <w:proofErr w:type="spellStart"/>
      <w:r>
        <w:rPr>
          <w:rFonts w:ascii="Noto Sans" w:hAnsi="Noto Sans" w:cs="Noto Sans"/>
          <w:sz w:val="20"/>
          <w:szCs w:val="20"/>
          <w:lang w:val="es"/>
        </w:rPr>
        <w:t>Domino</w:t>
      </w:r>
      <w:proofErr w:type="spellEnd"/>
      <w:r>
        <w:rPr>
          <w:rFonts w:ascii="Noto Sans" w:hAnsi="Noto Sans" w:cs="Noto Sans"/>
          <w:sz w:val="20"/>
          <w:szCs w:val="20"/>
          <w:lang w:val="es"/>
        </w:rPr>
        <w:t xml:space="preserve"> Printing </w:t>
      </w:r>
      <w:proofErr w:type="spellStart"/>
      <w:r>
        <w:rPr>
          <w:rFonts w:ascii="Noto Sans" w:hAnsi="Noto Sans" w:cs="Noto Sans"/>
          <w:sz w:val="20"/>
          <w:szCs w:val="20"/>
          <w:lang w:val="es"/>
        </w:rPr>
        <w:t>Sciences</w:t>
      </w:r>
      <w:proofErr w:type="spellEnd"/>
      <w:r>
        <w:rPr>
          <w:rFonts w:ascii="Noto Sans" w:hAnsi="Noto Sans" w:cs="Noto Sans"/>
          <w:sz w:val="20"/>
          <w:szCs w:val="20"/>
          <w:lang w:val="es"/>
        </w:rPr>
        <w:t xml:space="preserve"> (Domino), empresa fundada en 1978, cuenta con un excelente prestigio a nivel mundial gracias a sus soluciones tecnológicas de codificación, marcaje e impresión. Como valor añadido, destaca su servicio internacional de postventa y atención al cliente. En la actualidad, Domino tiene una de las gamas más completas de soluciones de codificación integrales diseñadas específicamente para satisfacer los requisitos de cumplimiento y de productividad de los fabricantes en numerosos sectores, entre los que destacan la industria de alimentos y bebidas, el sector farmacéutico y el industrial. Entre las tecnologías principales de la empresa se encuentran innovadores sistemas </w:t>
      </w:r>
      <w:proofErr w:type="spellStart"/>
      <w:r>
        <w:rPr>
          <w:rFonts w:ascii="Noto Sans" w:hAnsi="Noto Sans" w:cs="Noto Sans"/>
          <w:sz w:val="20"/>
          <w:szCs w:val="20"/>
          <w:lang w:val="es"/>
        </w:rPr>
        <w:t>inkjet</w:t>
      </w:r>
      <w:proofErr w:type="spellEnd"/>
      <w:r>
        <w:rPr>
          <w:rFonts w:ascii="Noto Sans" w:hAnsi="Noto Sans" w:cs="Noto Sans"/>
          <w:sz w:val="20"/>
          <w:szCs w:val="20"/>
          <w:lang w:val="es"/>
        </w:rPr>
        <w:t xml:space="preserve">, láser, de impresión y aplicación de etiquetas y de impresión por transferencia térmica, diseñados para la aplicación de datos variables, códigos de barras y códigos de trazabilidad únicos en productos y envases. </w:t>
      </w:r>
      <w:r>
        <w:rPr>
          <w:rFonts w:ascii="Noto Sans" w:hAnsi="Noto Sans" w:cs="Noto Sans"/>
          <w:sz w:val="20"/>
          <w:szCs w:val="20"/>
          <w:lang w:val="es"/>
        </w:rPr>
        <w:br/>
      </w:r>
      <w:r>
        <w:rPr>
          <w:rFonts w:ascii="Noto Sans" w:hAnsi="Noto Sans" w:cs="Noto Sans"/>
          <w:sz w:val="20"/>
          <w:szCs w:val="20"/>
          <w:lang w:val="es"/>
        </w:rPr>
        <w:br/>
        <w:t>Domino cuenta con más de 3000 colaboradores en todo el mundo y vende a más de 120 países a través de una red global de 29 filiales y más de 200 distribuidores. Domino posee fábricas en Alemania, China, EE. UU., India, Reino Unido, Suecia y Suiza.</w:t>
      </w:r>
      <w:r>
        <w:rPr>
          <w:rFonts w:ascii="Noto Sans" w:hAnsi="Noto Sans" w:cs="Noto Sans"/>
          <w:sz w:val="20"/>
          <w:szCs w:val="20"/>
          <w:lang w:val="es"/>
        </w:rPr>
        <w:br/>
      </w:r>
      <w:r>
        <w:rPr>
          <w:rFonts w:ascii="Noto Sans" w:hAnsi="Noto Sans" w:cs="Noto Sans"/>
          <w:sz w:val="20"/>
          <w:szCs w:val="20"/>
          <w:lang w:val="es"/>
        </w:rPr>
        <w:br/>
        <w:t xml:space="preserve">Domino pasó a ser una división autónoma de Brother Industries Ltd. el 11 de junio de 2015. </w:t>
      </w:r>
      <w:r>
        <w:rPr>
          <w:rFonts w:ascii="Noto Sans" w:hAnsi="Noto Sans" w:cs="Noto Sans"/>
          <w:sz w:val="20"/>
          <w:szCs w:val="20"/>
          <w:lang w:val="es"/>
        </w:rPr>
        <w:br/>
      </w:r>
      <w:r>
        <w:rPr>
          <w:rFonts w:ascii="Noto Sans" w:hAnsi="Noto Sans" w:cs="Noto Sans"/>
          <w:sz w:val="20"/>
          <w:szCs w:val="20"/>
          <w:lang w:val="es"/>
        </w:rPr>
        <w:br/>
        <w:t>Para obtener más información sobre Domino,</w:t>
      </w:r>
      <w:r>
        <w:rPr>
          <w:rFonts w:ascii="Noto Sans" w:hAnsi="Noto Sans" w:cs="Noto Sans"/>
          <w:sz w:val="20"/>
          <w:szCs w:val="20"/>
          <w:lang w:val="es"/>
        </w:rPr>
        <w:br/>
        <w:t xml:space="preserve">visite </w:t>
      </w:r>
      <w:hyperlink r:id="rId12" w:history="1">
        <w:r>
          <w:rPr>
            <w:rStyle w:val="Hyperlink"/>
            <w:rFonts w:ascii="Noto Sans" w:hAnsi="Noto Sans" w:cs="Noto Sans"/>
            <w:sz w:val="20"/>
            <w:szCs w:val="20"/>
            <w:lang w:val="es"/>
          </w:rPr>
          <w:t>www.domino-spain.com</w:t>
        </w:r>
      </w:hyperlink>
      <w:r>
        <w:rPr>
          <w:rFonts w:ascii="Noto Sans" w:hAnsi="Noto Sans" w:cs="Noto Sans"/>
          <w:sz w:val="20"/>
          <w:szCs w:val="20"/>
          <w:lang w:val="es"/>
        </w:rPr>
        <w:t xml:space="preserve">. </w:t>
      </w:r>
      <w:r>
        <w:rPr>
          <w:rFonts w:ascii="Noto Sans" w:hAnsi="Noto Sans" w:cs="Noto Sans"/>
          <w:sz w:val="20"/>
          <w:szCs w:val="20"/>
          <w:lang w:val="es"/>
        </w:rPr>
        <w:br/>
      </w:r>
      <w:r>
        <w:rPr>
          <w:rFonts w:ascii="Noto Sans" w:hAnsi="Noto Sans" w:cs="Noto Sans"/>
          <w:sz w:val="20"/>
          <w:szCs w:val="20"/>
          <w:lang w:val="es"/>
        </w:rPr>
        <w:br/>
      </w:r>
      <w:r>
        <w:rPr>
          <w:rFonts w:ascii="Noto Sans" w:hAnsi="Noto Sans" w:cs="Noto Sans"/>
          <w:b/>
          <w:bCs/>
          <w:sz w:val="20"/>
          <w:szCs w:val="20"/>
          <w:lang w:val="es"/>
        </w:rPr>
        <w:t>Contactos:</w:t>
      </w:r>
      <w:r>
        <w:rPr>
          <w:rFonts w:ascii="Noto Sans" w:hAnsi="Noto Sans" w:cs="Noto Sans"/>
          <w:sz w:val="20"/>
          <w:szCs w:val="20"/>
          <w:lang w:val="es"/>
        </w:rPr>
        <w:br/>
      </w:r>
      <w:r>
        <w:rPr>
          <w:rFonts w:ascii="Noto Sans" w:hAnsi="Noto Sans" w:cs="Noto Sans"/>
          <w:sz w:val="20"/>
          <w:szCs w:val="20"/>
          <w:lang w:val="es"/>
        </w:rPr>
        <w:br/>
      </w:r>
      <w:bookmarkEnd w:id="1"/>
      <w:r w:rsidRPr="00F4774E">
        <w:rPr>
          <w:rFonts w:ascii="Noto Sans" w:hAnsi="Noto Sans" w:cs="Noto Sans"/>
          <w:sz w:val="20"/>
          <w:szCs w:val="20"/>
          <w:lang w:val="nl"/>
        </w:rPr>
        <w:t>Jade Taylor-Salazar</w:t>
      </w:r>
      <w:r>
        <w:rPr>
          <w:rFonts w:ascii="Noto Sans" w:hAnsi="Noto Sans" w:cs="Noto Sans"/>
          <w:sz w:val="20"/>
          <w:szCs w:val="20"/>
          <w:lang w:val="es"/>
        </w:rPr>
        <w:br/>
        <w:t xml:space="preserve">RR. PP. y gestora de contenidos </w:t>
      </w:r>
      <w:r>
        <w:rPr>
          <w:rFonts w:ascii="Noto Sans" w:hAnsi="Noto Sans" w:cs="Noto Sans"/>
          <w:sz w:val="20"/>
          <w:szCs w:val="20"/>
          <w:lang w:val="es"/>
        </w:rPr>
        <w:br/>
        <w:t xml:space="preserve">Domino Printing </w:t>
      </w:r>
      <w:proofErr w:type="spellStart"/>
      <w:r>
        <w:rPr>
          <w:rFonts w:ascii="Noto Sans" w:hAnsi="Noto Sans" w:cs="Noto Sans"/>
          <w:sz w:val="20"/>
          <w:szCs w:val="20"/>
          <w:lang w:val="es"/>
        </w:rPr>
        <w:t>Sciences</w:t>
      </w:r>
      <w:proofErr w:type="spellEnd"/>
      <w:r>
        <w:rPr>
          <w:rFonts w:ascii="Noto Sans" w:hAnsi="Noto Sans" w:cs="Noto Sans"/>
          <w:sz w:val="20"/>
          <w:szCs w:val="20"/>
          <w:lang w:val="es"/>
        </w:rPr>
        <w:t xml:space="preserve"> </w:t>
      </w:r>
      <w:r>
        <w:rPr>
          <w:rFonts w:ascii="Noto Sans" w:hAnsi="Noto Sans" w:cs="Noto Sans"/>
          <w:sz w:val="20"/>
          <w:szCs w:val="20"/>
          <w:lang w:val="es"/>
        </w:rPr>
        <w:br/>
        <w:t>Tel.: +44 1954 778 780</w:t>
      </w:r>
      <w:r>
        <w:rPr>
          <w:rFonts w:ascii="Noto Sans" w:hAnsi="Noto Sans" w:cs="Noto Sans"/>
          <w:sz w:val="20"/>
          <w:szCs w:val="20"/>
          <w:lang w:val="es"/>
        </w:rPr>
        <w:br/>
      </w:r>
      <w:hyperlink r:id="rId13" w:history="1">
        <w:r w:rsidRPr="00DD4585">
          <w:rPr>
            <w:rStyle w:val="Hyperlink"/>
            <w:rFonts w:ascii="Noto Sans" w:hAnsi="Noto Sans" w:cs="Noto Sans"/>
            <w:sz w:val="20"/>
            <w:szCs w:val="20"/>
            <w:lang w:val="es-ES"/>
          </w:rPr>
          <w:t>Jade.Taylor-Salazar@domino-uk.com</w:t>
        </w:r>
      </w:hyperlink>
      <w:r>
        <w:rPr>
          <w:rFonts w:ascii="Noto Sans" w:hAnsi="Noto Sans" w:cs="Noto Sans"/>
          <w:sz w:val="20"/>
          <w:szCs w:val="20"/>
          <w:lang w:val="es"/>
        </w:rPr>
        <w:t xml:space="preserve"> </w:t>
      </w:r>
      <w:r>
        <w:rPr>
          <w:rFonts w:ascii="Noto Sans" w:hAnsi="Noto Sans" w:cs="Noto Sans"/>
          <w:sz w:val="20"/>
          <w:szCs w:val="20"/>
          <w:lang w:val="es"/>
        </w:rPr>
        <w:br/>
      </w:r>
      <w:r>
        <w:rPr>
          <w:rFonts w:ascii="Noto Sans" w:hAnsi="Noto Sans" w:cs="Noto Sans"/>
          <w:sz w:val="20"/>
          <w:szCs w:val="20"/>
          <w:lang w:val="es"/>
        </w:rPr>
        <w:lastRenderedPageBreak/>
        <w:br/>
        <w:t>Dafne Petracca</w:t>
      </w:r>
    </w:p>
    <w:p w14:paraId="384C95ED" w14:textId="77777777" w:rsidR="002377DC" w:rsidRPr="00024078" w:rsidRDefault="002377DC" w:rsidP="002377DC">
      <w:pPr>
        <w:rPr>
          <w:rFonts w:ascii="Noto Sans" w:hAnsi="Noto Sans" w:cs="Noto Sans"/>
          <w:sz w:val="20"/>
          <w:szCs w:val="20"/>
          <w:lang w:val="es-ES"/>
        </w:rPr>
      </w:pPr>
      <w:r>
        <w:rPr>
          <w:rFonts w:ascii="Noto Sans" w:hAnsi="Noto Sans" w:cs="Noto Sans"/>
          <w:sz w:val="20"/>
          <w:szCs w:val="20"/>
          <w:lang w:val="es"/>
        </w:rPr>
        <w:t>Coordinadora de marketing</w:t>
      </w:r>
    </w:p>
    <w:p w14:paraId="6D20883A" w14:textId="77777777" w:rsidR="002377DC" w:rsidRPr="00024078" w:rsidRDefault="002377DC" w:rsidP="002377DC">
      <w:pPr>
        <w:rPr>
          <w:rFonts w:ascii="Noto Sans" w:hAnsi="Noto Sans" w:cs="Noto Sans"/>
          <w:sz w:val="20"/>
          <w:szCs w:val="20"/>
          <w:lang w:val="es-ES"/>
        </w:rPr>
      </w:pPr>
      <w:r>
        <w:rPr>
          <w:rFonts w:ascii="Noto Sans" w:hAnsi="Noto Sans" w:cs="Noto Sans"/>
          <w:sz w:val="20"/>
          <w:szCs w:val="20"/>
          <w:lang w:val="es"/>
        </w:rPr>
        <w:t>Domino España</w:t>
      </w:r>
    </w:p>
    <w:p w14:paraId="1416FED3" w14:textId="77777777" w:rsidR="002377DC" w:rsidRPr="00024078" w:rsidRDefault="002377DC" w:rsidP="002377DC">
      <w:pPr>
        <w:rPr>
          <w:rFonts w:ascii="Noto Sans" w:hAnsi="Noto Sans" w:cs="Noto Sans"/>
          <w:sz w:val="20"/>
          <w:szCs w:val="20"/>
          <w:lang w:val="es-ES"/>
        </w:rPr>
      </w:pPr>
      <w:r>
        <w:rPr>
          <w:rFonts w:ascii="Noto Sans" w:hAnsi="Noto Sans" w:cs="Noto Sans"/>
          <w:sz w:val="20"/>
          <w:szCs w:val="20"/>
          <w:lang w:val="es"/>
        </w:rPr>
        <w:t>Tel.: +34 616 074 252</w:t>
      </w:r>
    </w:p>
    <w:p w14:paraId="513AB1E7" w14:textId="77777777" w:rsidR="002377DC" w:rsidRPr="00024078" w:rsidRDefault="002377DC" w:rsidP="002377DC">
      <w:pPr>
        <w:rPr>
          <w:rFonts w:ascii="Noto Sans" w:hAnsi="Noto Sans" w:cs="Noto Sans"/>
          <w:sz w:val="20"/>
          <w:szCs w:val="20"/>
          <w:lang w:val="es-ES"/>
        </w:rPr>
      </w:pPr>
      <w:hyperlink r:id="rId14" w:history="1">
        <w:r>
          <w:rPr>
            <w:rStyle w:val="Hyperlink"/>
            <w:rFonts w:ascii="Noto Sans" w:hAnsi="Noto Sans" w:cs="Noto Sans"/>
            <w:sz w:val="20"/>
            <w:szCs w:val="20"/>
            <w:lang w:val="es"/>
          </w:rPr>
          <w:t>dafne.petracca@domino-spain.com</w:t>
        </w:r>
      </w:hyperlink>
      <w:r>
        <w:rPr>
          <w:rFonts w:ascii="Noto Sans" w:hAnsi="Noto Sans" w:cs="Noto Sans"/>
          <w:sz w:val="20"/>
          <w:szCs w:val="20"/>
          <w:lang w:val="es"/>
        </w:rPr>
        <w:t xml:space="preserve"> </w:t>
      </w:r>
      <w:r>
        <w:rPr>
          <w:rFonts w:ascii="Noto Sans" w:hAnsi="Noto Sans" w:cs="Noto Sans"/>
          <w:sz w:val="20"/>
          <w:szCs w:val="20"/>
          <w:lang w:val="es"/>
        </w:rPr>
        <w:br/>
      </w:r>
      <w:r>
        <w:rPr>
          <w:rFonts w:ascii="Noto Sans" w:hAnsi="Noto Sans" w:cs="Noto Sans"/>
          <w:sz w:val="20"/>
          <w:szCs w:val="20"/>
          <w:lang w:val="es"/>
        </w:rPr>
        <w:br/>
      </w:r>
    </w:p>
    <w:p w14:paraId="53C7CF2C" w14:textId="77777777" w:rsidR="002377DC" w:rsidRPr="00024078" w:rsidRDefault="002377DC" w:rsidP="002377DC">
      <w:pPr>
        <w:rPr>
          <w:rFonts w:ascii="Noto Sans" w:hAnsi="Noto Sans" w:cs="Noto Sans"/>
          <w:sz w:val="20"/>
          <w:szCs w:val="20"/>
          <w:lang w:val="es-ES"/>
        </w:rPr>
      </w:pPr>
    </w:p>
    <w:p w14:paraId="3363A62C" w14:textId="77777777" w:rsidR="002377DC" w:rsidRPr="00024078" w:rsidRDefault="002377DC" w:rsidP="002377DC">
      <w:pPr>
        <w:rPr>
          <w:rFonts w:ascii="Noto Sans" w:hAnsi="Noto Sans" w:cs="Noto Sans"/>
          <w:sz w:val="20"/>
          <w:szCs w:val="20"/>
          <w:lang w:val="es-ES"/>
        </w:rPr>
      </w:pPr>
    </w:p>
    <w:p w14:paraId="0EBD681F" w14:textId="77777777" w:rsidR="002377DC" w:rsidRPr="002377DC" w:rsidRDefault="002377DC" w:rsidP="00583EFB">
      <w:pPr>
        <w:rPr>
          <w:rFonts w:ascii="Noto Sans" w:hAnsi="Noto Sans" w:cs="Noto Sans"/>
          <w:sz w:val="22"/>
          <w:szCs w:val="22"/>
        </w:rPr>
      </w:pPr>
    </w:p>
    <w:p w14:paraId="712DB134" w14:textId="77777777" w:rsidR="00583EFB" w:rsidRPr="0041190A" w:rsidRDefault="00583EFB" w:rsidP="00DE40B4">
      <w:pPr>
        <w:rPr>
          <w:rFonts w:ascii="Noto Sans" w:hAnsi="Noto Sans" w:cs="Noto Sans"/>
          <w:sz w:val="20"/>
          <w:szCs w:val="20"/>
        </w:rPr>
      </w:pPr>
    </w:p>
    <w:p w14:paraId="4C096135" w14:textId="77777777" w:rsidR="000360FB" w:rsidRPr="0041190A" w:rsidRDefault="000360FB" w:rsidP="00DE40B4">
      <w:pPr>
        <w:rPr>
          <w:rFonts w:ascii="Noto Sans" w:hAnsi="Noto Sans" w:cs="Noto Sans"/>
          <w:sz w:val="20"/>
          <w:szCs w:val="20"/>
        </w:rPr>
      </w:pPr>
    </w:p>
    <w:p w14:paraId="5578067E" w14:textId="44FBB366" w:rsidR="00DE40B4" w:rsidRPr="0041190A" w:rsidRDefault="00DE40B4" w:rsidP="00DE40B4">
      <w:pPr>
        <w:rPr>
          <w:rFonts w:ascii="Noto Sans" w:hAnsi="Noto Sans" w:cs="Noto Sans"/>
          <w:sz w:val="20"/>
          <w:szCs w:val="20"/>
        </w:rPr>
      </w:pPr>
    </w:p>
    <w:p w14:paraId="613F8DDB" w14:textId="77777777" w:rsidR="00DE40B4" w:rsidRPr="0041190A" w:rsidRDefault="00DE40B4" w:rsidP="00DE40B4">
      <w:pPr>
        <w:rPr>
          <w:rFonts w:ascii="Noto Sans" w:hAnsi="Noto Sans" w:cs="Noto Sans"/>
          <w:sz w:val="20"/>
          <w:szCs w:val="20"/>
        </w:rPr>
      </w:pPr>
    </w:p>
    <w:sectPr w:rsidR="00DE40B4" w:rsidRPr="0041190A" w:rsidSect="00C01297">
      <w:headerReference w:type="default" r:id="rId15"/>
      <w:pgSz w:w="11900" w:h="16840"/>
      <w:pgMar w:top="572" w:right="1800" w:bottom="1440" w:left="1800" w:header="34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581F" w14:textId="77777777" w:rsidR="007003D0" w:rsidRDefault="007003D0">
      <w:r>
        <w:separator/>
      </w:r>
    </w:p>
  </w:endnote>
  <w:endnote w:type="continuationSeparator" w:id="0">
    <w:p w14:paraId="2FA30D05" w14:textId="77777777" w:rsidR="007003D0" w:rsidRDefault="0070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D520" w14:textId="77777777" w:rsidR="007003D0" w:rsidRDefault="007003D0">
      <w:r>
        <w:separator/>
      </w:r>
    </w:p>
  </w:footnote>
  <w:footnote w:type="continuationSeparator" w:id="0">
    <w:p w14:paraId="5A70DB4C" w14:textId="77777777" w:rsidR="007003D0" w:rsidRDefault="0070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56DF" w14:textId="77777777" w:rsidR="00C01297" w:rsidRDefault="00C01297">
    <w:pPr>
      <w:pStyle w:val="Header"/>
    </w:pPr>
    <w:r>
      <w:rPr>
        <w:noProof/>
        <w:lang w:val="es-ES"/>
      </w:rPr>
      <w:drawing>
        <wp:anchor distT="0" distB="0" distL="114300" distR="114300" simplePos="0" relativeHeight="251659264" behindDoc="0" locked="0" layoutInCell="1" allowOverlap="1" wp14:anchorId="74F22870" wp14:editId="09063A0A">
          <wp:simplePos x="0" y="0"/>
          <wp:positionH relativeFrom="column">
            <wp:posOffset>-952500</wp:posOffset>
          </wp:positionH>
          <wp:positionV relativeFrom="paragraph">
            <wp:posOffset>11430</wp:posOffset>
          </wp:positionV>
          <wp:extent cx="1752600" cy="69088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1752600" cy="690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8794D6" w14:textId="77777777" w:rsidR="00C01297" w:rsidRDefault="00C01297">
    <w:pPr>
      <w:pStyle w:val="Header"/>
    </w:pPr>
  </w:p>
  <w:p w14:paraId="026597E8" w14:textId="77777777" w:rsidR="00C01297" w:rsidRDefault="00C01297">
    <w:pPr>
      <w:pStyle w:val="Header"/>
    </w:pPr>
  </w:p>
  <w:p w14:paraId="0E8161AC" w14:textId="77777777" w:rsidR="00C01297" w:rsidRDefault="00C012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97"/>
    <w:rsid w:val="000360FB"/>
    <w:rsid w:val="000A399B"/>
    <w:rsid w:val="000B3D24"/>
    <w:rsid w:val="00131F13"/>
    <w:rsid w:val="001C5EB3"/>
    <w:rsid w:val="00215BF4"/>
    <w:rsid w:val="00235281"/>
    <w:rsid w:val="002377DC"/>
    <w:rsid w:val="00314B1E"/>
    <w:rsid w:val="003830E5"/>
    <w:rsid w:val="003D4B89"/>
    <w:rsid w:val="0041190A"/>
    <w:rsid w:val="00455234"/>
    <w:rsid w:val="00485766"/>
    <w:rsid w:val="004F5E1A"/>
    <w:rsid w:val="00583EFB"/>
    <w:rsid w:val="0060520F"/>
    <w:rsid w:val="007003D0"/>
    <w:rsid w:val="00736AB4"/>
    <w:rsid w:val="007668ED"/>
    <w:rsid w:val="007C241D"/>
    <w:rsid w:val="00805146"/>
    <w:rsid w:val="0081384D"/>
    <w:rsid w:val="0083756D"/>
    <w:rsid w:val="008F1D4F"/>
    <w:rsid w:val="009D765C"/>
    <w:rsid w:val="00A068CB"/>
    <w:rsid w:val="00B175AA"/>
    <w:rsid w:val="00C01297"/>
    <w:rsid w:val="00CD67B9"/>
    <w:rsid w:val="00D542C0"/>
    <w:rsid w:val="00D561BA"/>
    <w:rsid w:val="00DE40B4"/>
    <w:rsid w:val="00E3103E"/>
    <w:rsid w:val="00F03C0C"/>
    <w:rsid w:val="00F2625F"/>
    <w:rsid w:val="00FB14A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659C"/>
  <w15:chartTrackingRefBased/>
  <w15:docId w15:val="{535191F0-F128-4A4E-8C93-2BBB82A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297"/>
    <w:pPr>
      <w:spacing w:after="0" w:line="240"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C01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2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2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2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2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297"/>
    <w:rPr>
      <w:rFonts w:eastAsiaTheme="majorEastAsia" w:cstheme="majorBidi"/>
      <w:color w:val="272727" w:themeColor="text1" w:themeTint="D8"/>
    </w:rPr>
  </w:style>
  <w:style w:type="paragraph" w:styleId="Title">
    <w:name w:val="Title"/>
    <w:basedOn w:val="Normal"/>
    <w:next w:val="Normal"/>
    <w:link w:val="TitleChar"/>
    <w:uiPriority w:val="10"/>
    <w:qFormat/>
    <w:rsid w:val="00C012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297"/>
    <w:pPr>
      <w:spacing w:before="160"/>
      <w:jc w:val="center"/>
    </w:pPr>
    <w:rPr>
      <w:i/>
      <w:iCs/>
      <w:color w:val="404040" w:themeColor="text1" w:themeTint="BF"/>
    </w:rPr>
  </w:style>
  <w:style w:type="character" w:customStyle="1" w:styleId="QuoteChar">
    <w:name w:val="Quote Char"/>
    <w:basedOn w:val="DefaultParagraphFont"/>
    <w:link w:val="Quote"/>
    <w:uiPriority w:val="29"/>
    <w:rsid w:val="00C01297"/>
    <w:rPr>
      <w:i/>
      <w:iCs/>
      <w:color w:val="404040" w:themeColor="text1" w:themeTint="BF"/>
    </w:rPr>
  </w:style>
  <w:style w:type="paragraph" w:styleId="ListParagraph">
    <w:name w:val="List Paragraph"/>
    <w:basedOn w:val="Normal"/>
    <w:uiPriority w:val="34"/>
    <w:qFormat/>
    <w:rsid w:val="00C01297"/>
    <w:pPr>
      <w:ind w:left="720"/>
      <w:contextualSpacing/>
    </w:pPr>
  </w:style>
  <w:style w:type="character" w:styleId="IntenseEmphasis">
    <w:name w:val="Intense Emphasis"/>
    <w:basedOn w:val="DefaultParagraphFont"/>
    <w:uiPriority w:val="21"/>
    <w:qFormat/>
    <w:rsid w:val="00C01297"/>
    <w:rPr>
      <w:i/>
      <w:iCs/>
      <w:color w:val="0F4761" w:themeColor="accent1" w:themeShade="BF"/>
    </w:rPr>
  </w:style>
  <w:style w:type="paragraph" w:styleId="IntenseQuote">
    <w:name w:val="Intense Quote"/>
    <w:basedOn w:val="Normal"/>
    <w:next w:val="Normal"/>
    <w:link w:val="IntenseQuoteChar"/>
    <w:uiPriority w:val="30"/>
    <w:qFormat/>
    <w:rsid w:val="00C01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297"/>
    <w:rPr>
      <w:i/>
      <w:iCs/>
      <w:color w:val="0F4761" w:themeColor="accent1" w:themeShade="BF"/>
    </w:rPr>
  </w:style>
  <w:style w:type="character" w:styleId="IntenseReference">
    <w:name w:val="Intense Reference"/>
    <w:basedOn w:val="DefaultParagraphFont"/>
    <w:uiPriority w:val="32"/>
    <w:qFormat/>
    <w:rsid w:val="00C01297"/>
    <w:rPr>
      <w:b/>
      <w:bCs/>
      <w:smallCaps/>
      <w:color w:val="0F4761" w:themeColor="accent1" w:themeShade="BF"/>
      <w:spacing w:val="5"/>
    </w:rPr>
  </w:style>
  <w:style w:type="paragraph" w:styleId="Header">
    <w:name w:val="header"/>
    <w:basedOn w:val="Normal"/>
    <w:link w:val="HeaderChar"/>
    <w:uiPriority w:val="99"/>
    <w:unhideWhenUsed/>
    <w:rsid w:val="00C01297"/>
    <w:pPr>
      <w:tabs>
        <w:tab w:val="center" w:pos="4513"/>
        <w:tab w:val="right" w:pos="9026"/>
      </w:tabs>
    </w:pPr>
  </w:style>
  <w:style w:type="character" w:customStyle="1" w:styleId="HeaderChar">
    <w:name w:val="Header Char"/>
    <w:basedOn w:val="DefaultParagraphFont"/>
    <w:link w:val="Header"/>
    <w:uiPriority w:val="99"/>
    <w:rsid w:val="00C01297"/>
    <w:rPr>
      <w:rFonts w:eastAsiaTheme="minorEastAsia"/>
      <w:kern w:val="0"/>
      <w:lang w:val="en-US" w:eastAsia="ja-JP"/>
      <w14:ligatures w14:val="none"/>
    </w:rPr>
  </w:style>
  <w:style w:type="paragraph" w:customStyle="1" w:styleId="Default">
    <w:name w:val="Default"/>
    <w:rsid w:val="00C01297"/>
    <w:pPr>
      <w:autoSpaceDE w:val="0"/>
      <w:autoSpaceDN w:val="0"/>
      <w:adjustRightInd w:val="0"/>
      <w:spacing w:after="0" w:line="240" w:lineRule="auto"/>
    </w:pPr>
    <w:rPr>
      <w:rFonts w:ascii="Calibri" w:eastAsia="Calibri" w:hAnsi="Calibri" w:cs="Calibri"/>
      <w:color w:val="000000"/>
      <w:kern w:val="0"/>
      <w:lang w:val="fr-FR"/>
      <w14:ligatures w14:val="none"/>
    </w:rPr>
  </w:style>
  <w:style w:type="character" w:styleId="Hyperlink">
    <w:name w:val="Hyperlink"/>
    <w:basedOn w:val="DefaultParagraphFont"/>
    <w:uiPriority w:val="99"/>
    <w:unhideWhenUsed/>
    <w:rsid w:val="00C01297"/>
    <w:rPr>
      <w:color w:val="467886" w:themeColor="hyperlink"/>
      <w:u w:val="single"/>
    </w:rPr>
  </w:style>
  <w:style w:type="character" w:styleId="CommentReference">
    <w:name w:val="annotation reference"/>
    <w:basedOn w:val="DefaultParagraphFont"/>
    <w:uiPriority w:val="99"/>
    <w:semiHidden/>
    <w:unhideWhenUsed/>
    <w:rsid w:val="00C01297"/>
    <w:rPr>
      <w:sz w:val="16"/>
      <w:szCs w:val="16"/>
    </w:rPr>
  </w:style>
  <w:style w:type="paragraph" w:styleId="CommentText">
    <w:name w:val="annotation text"/>
    <w:basedOn w:val="Normal"/>
    <w:link w:val="CommentTextChar"/>
    <w:uiPriority w:val="99"/>
    <w:unhideWhenUsed/>
    <w:rsid w:val="00C01297"/>
    <w:rPr>
      <w:sz w:val="20"/>
      <w:szCs w:val="20"/>
    </w:rPr>
  </w:style>
  <w:style w:type="character" w:customStyle="1" w:styleId="CommentTextChar">
    <w:name w:val="Comment Text Char"/>
    <w:basedOn w:val="DefaultParagraphFont"/>
    <w:link w:val="CommentText"/>
    <w:uiPriority w:val="99"/>
    <w:rsid w:val="00C01297"/>
    <w:rPr>
      <w:rFonts w:eastAsiaTheme="minorEastAsia"/>
      <w:kern w:val="0"/>
      <w:sz w:val="20"/>
      <w:szCs w:val="20"/>
      <w:lang w:val="en-US" w:eastAsia="ja-JP"/>
      <w14:ligatures w14:val="none"/>
    </w:rPr>
  </w:style>
  <w:style w:type="character" w:styleId="UnresolvedMention">
    <w:name w:val="Unresolved Mention"/>
    <w:basedOn w:val="DefaultParagraphFont"/>
    <w:uiPriority w:val="99"/>
    <w:semiHidden/>
    <w:unhideWhenUsed/>
    <w:rsid w:val="0081384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40B4"/>
    <w:rPr>
      <w:b/>
      <w:bCs/>
    </w:rPr>
  </w:style>
  <w:style w:type="character" w:customStyle="1" w:styleId="CommentSubjectChar">
    <w:name w:val="Comment Subject Char"/>
    <w:basedOn w:val="CommentTextChar"/>
    <w:link w:val="CommentSubject"/>
    <w:uiPriority w:val="99"/>
    <w:semiHidden/>
    <w:rsid w:val="00DE40B4"/>
    <w:rPr>
      <w:rFonts w:eastAsiaTheme="minorEastAsia"/>
      <w:b/>
      <w:bCs/>
      <w:kern w:val="0"/>
      <w:sz w:val="20"/>
      <w:szCs w:val="20"/>
      <w:lang w:val="en-US" w:eastAsia="ja-JP"/>
      <w14:ligatures w14:val="none"/>
    </w:rPr>
  </w:style>
  <w:style w:type="paragraph" w:styleId="Revision">
    <w:name w:val="Revision"/>
    <w:hidden/>
    <w:uiPriority w:val="99"/>
    <w:semiHidden/>
    <w:rsid w:val="00235281"/>
    <w:pPr>
      <w:spacing w:after="0" w:line="240" w:lineRule="auto"/>
    </w:pPr>
    <w:rPr>
      <w:rFonts w:eastAsiaTheme="minorEastAsia"/>
      <w:kern w:val="0"/>
      <w:lang w:val="en-US" w:eastAsia="ja-JP"/>
      <w14:ligatures w14:val="none"/>
    </w:rPr>
  </w:style>
  <w:style w:type="character" w:styleId="Mention">
    <w:name w:val="Mention"/>
    <w:basedOn w:val="DefaultParagraphFont"/>
    <w:uiPriority w:val="99"/>
    <w:unhideWhenUsed/>
    <w:rsid w:val="00F262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s-es/news-and-events/2026/domino-lanza-codificador-laser-uv-ux360i-para-aplicaciones-de-envasado-sostenible-a-alta-velocidad?utm_medium=non-paid&amp;utm_source=onlinepublication&amp;utm_content=interpack-post-show-review-pr-es&amp;utm_campaign=2026-int-es-global-pr-cm-fy26-q1" TargetMode="External"/><Relationship Id="rId13" Type="http://schemas.openxmlformats.org/officeDocument/2006/relationships/hyperlink" Target="mailto:Jade.Taylor-Salazar@domino-uk.com" TargetMode="External"/><Relationship Id="rId3" Type="http://schemas.openxmlformats.org/officeDocument/2006/relationships/webSettings" Target="webSettings.xml"/><Relationship Id="rId7" Type="http://schemas.openxmlformats.org/officeDocument/2006/relationships/hyperlink" Target="https://www.domino-printing.com/es-es/news-and-events/2026/domino-presenta-el-cabezal-pro-de-la-serie-gx-para-apoyar-la-transicion-a-la-codificacion-2d?utm_medium=non-paid&amp;utm_source=onlinepublication&amp;utm_content=interpack-post-show-review-pr-es&amp;utm_campaign=2026-int-es-global-pr-cm-fy26-q1" TargetMode="External"/><Relationship Id="rId12" Type="http://schemas.openxmlformats.org/officeDocument/2006/relationships/hyperlink" Target="file:///\\dps.local\Group\Domino\Marketing\Group_Marketing\Brand_Content_&amp;_PR_Marketing\PR\Press%20Releases\1%20PR%20info\Regional%20disclaimer%20and%20boilerplate\www.domino-spain.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s-es/home.aspx?utm_medium=non-paid&amp;utm_source=onlinepublication&amp;utm_content=interpack-post-show-review-pr-es&amp;utm_campaign=2026-int-es-global-pr-cm-fy26-q1" TargetMode="External"/><Relationship Id="rId11" Type="http://schemas.openxmlformats.org/officeDocument/2006/relationships/hyperlink" Target="https://www.domino-printing.com/es-es/news-and-events/news.aspx?utm_medium=non-paid&amp;utm_source=onlinepublication&amp;utm_content=interpack-post-show-review-pr-es&amp;utm_campaign=2026-int-es-global-pr-cm-fy26-q1"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domino-printing.com/en-gb/news-and-events/2026/amazon-gs1-germany-and-domino-discuss-the-future-of-product-identification-at-interpack-2026?utm_medium=non-paid&amp;utm_source=onlinepublication&amp;utm_content=interpack-post-show-review-pr-es&amp;utm_campaign=2026-int-es-global-pr-cm-fy26-q1" TargetMode="External"/><Relationship Id="rId4" Type="http://schemas.openxmlformats.org/officeDocument/2006/relationships/footnotes" Target="footnotes.xml"/><Relationship Id="rId9" Type="http://schemas.openxmlformats.org/officeDocument/2006/relationships/hyperlink" Target="https://www.domino-printing.com/es-es/products/etiquetado-de-pales?utm_medium=non-paid&amp;utm_source=onlinepublication&amp;utm_content=interpack-post-show-review-pr-es&amp;utm_campaign=2026-int-es-global-pr-cm-fy26-q1" TargetMode="External"/><Relationship Id="rId14" Type="http://schemas.openxmlformats.org/officeDocument/2006/relationships/hyperlink" Target="mailto:dafne.petracca@domino-spa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6</cp:revision>
  <dcterms:created xsi:type="dcterms:W3CDTF">2026-05-21T13:23:00Z</dcterms:created>
  <dcterms:modified xsi:type="dcterms:W3CDTF">2026-06-08T12:36:00Z</dcterms:modified>
</cp:coreProperties>
</file>