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AD5A" w14:textId="77777777" w:rsidR="006345A2" w:rsidRPr="006345A2" w:rsidRDefault="006345A2" w:rsidP="006345A2">
      <w:pPr>
        <w:spacing w:before="120" w:after="120" w:line="240" w:lineRule="auto"/>
        <w:rPr>
          <w:rFonts w:ascii="Noto Sans" w:eastAsia="Times New Roman" w:hAnsi="Noto Sans" w:cs="Noto Sans"/>
          <w:sz w:val="28"/>
          <w:szCs w:val="28"/>
          <w:lang w:val="pt-BR"/>
        </w:rPr>
      </w:pPr>
      <w:r w:rsidRPr="006345A2">
        <w:rPr>
          <w:rFonts w:ascii="Noto Sans" w:eastAsia="Times New Roman" w:hAnsi="Noto Sans" w:cs="Noto Sans"/>
          <w:b/>
          <w:bCs/>
          <w:sz w:val="28"/>
          <w:szCs w:val="28"/>
          <w:lang w:val="pt-PT"/>
        </w:rPr>
        <w:t>Da impressão à prateleira:</w:t>
      </w:r>
      <w:r w:rsidRPr="006345A2">
        <w:rPr>
          <w:rFonts w:ascii="Noto Sans" w:eastAsia="Times New Roman" w:hAnsi="Noto Sans" w:cs="Noto Sans"/>
          <w:sz w:val="28"/>
          <w:szCs w:val="28"/>
          <w:lang w:val="pt-PT"/>
        </w:rPr>
        <w:t xml:space="preserve"> </w:t>
      </w:r>
      <w:r w:rsidRPr="006345A2">
        <w:rPr>
          <w:rFonts w:ascii="Noto Sans" w:eastAsia="Times New Roman" w:hAnsi="Noto Sans" w:cs="Noto Sans"/>
          <w:b/>
          <w:bCs/>
          <w:sz w:val="28"/>
          <w:szCs w:val="28"/>
          <w:lang w:val="pt-PT"/>
        </w:rPr>
        <w:t>Fornecer códigos 2D fiáveis e compatíveis com GS1 em etiquetas e embalagens</w:t>
      </w:r>
    </w:p>
    <w:p w14:paraId="0E74117E" w14:textId="5361030F"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À medida que se acelera a introdução no retalho de embalagens e etiquetas com </w:t>
      </w:r>
      <w:hyperlink r:id="rId6" w:history="1">
        <w:r w:rsidRPr="006345A2">
          <w:rPr>
            <w:rFonts w:ascii="Noto Sans" w:eastAsia="Times New Roman" w:hAnsi="Noto Sans" w:cs="Noto Sans"/>
            <w:color w:val="0563C1" w:themeColor="hyperlink"/>
            <w:sz w:val="22"/>
            <w:u w:val="single"/>
            <w:lang w:val="pt-PT"/>
          </w:rPr>
          <w:t>códigos 2D baseados nos padrões da GS1</w:t>
        </w:r>
      </w:hyperlink>
      <w:r w:rsidRPr="006345A2">
        <w:rPr>
          <w:rFonts w:ascii="Noto Sans" w:eastAsia="Times New Roman" w:hAnsi="Noto Sans" w:cs="Noto Sans"/>
          <w:sz w:val="22"/>
          <w:lang w:val="pt-PT"/>
        </w:rPr>
        <w:t>, Toby Hayhurst, Product Manager – Digital Monochrome, Domino Printing Sciences, explica como os fabricantes podem preparar-se para responder à crescente procura dos clientes por embalagens com códigos 2D verificados e em conformidade com as normas.</w:t>
      </w:r>
    </w:p>
    <w:p w14:paraId="15CFC04E"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b/>
          <w:bCs/>
          <w:sz w:val="22"/>
          <w:lang w:val="pt-PT"/>
        </w:rPr>
        <w:t>Escolher o equipamento de impressão correto</w:t>
      </w:r>
    </w:p>
    <w:p w14:paraId="5E112648"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Os códigos 2D baseados nos padrões da GS1 funcionam como suportes multifuncionais, reunindo dados de fabricante, preço e consumidor, pelo que é essencial garantir uma implementação correta. A falha na leitura de códigos pode comprometer a confiança de retalhistas e consumidores e afetar negativamente a reputação do fornecedor de embalagens. Como tal, a escolha de equipamentos adequados de impressão e verificação, bem como de fluxos de trabalho eficientes, é crucial para os fabricantes. </w:t>
      </w:r>
    </w:p>
    <w:p w14:paraId="52F68FF7"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Uma consideração fundamental é a decisão da marca ao escolher códigos QR estáticos ou variáveis e os volumes necessários. Os códigos estáticos essencialmente </w:t>
      </w:r>
      <w:hyperlink r:id="rId7" w:history="1">
        <w:r w:rsidRPr="006345A2">
          <w:rPr>
            <w:rFonts w:ascii="Noto Sans" w:eastAsia="Times New Roman" w:hAnsi="Noto Sans" w:cs="Noto Sans"/>
            <w:color w:val="0563C1" w:themeColor="hyperlink"/>
            <w:sz w:val="22"/>
            <w:u w:val="single"/>
            <w:lang w:val="pt-PT"/>
          </w:rPr>
          <w:t>substituem</w:t>
        </w:r>
        <w:r w:rsidRPr="006345A2">
          <w:rPr>
            <w:rFonts w:ascii="Noto Sans" w:eastAsia="Times New Roman" w:hAnsi="Noto Sans" w:cs="Noto Sans"/>
            <w:color w:val="0563C1" w:themeColor="hyperlink"/>
            <w:sz w:val="22"/>
            <w:lang w:val="pt-PT"/>
          </w:rPr>
          <w:t xml:space="preserve"> </w:t>
        </w:r>
        <w:r w:rsidRPr="006345A2">
          <w:rPr>
            <w:rFonts w:ascii="Noto Sans" w:eastAsia="Times New Roman" w:hAnsi="Noto Sans" w:cs="Noto Sans"/>
            <w:color w:val="0563C1" w:themeColor="hyperlink"/>
            <w:sz w:val="22"/>
            <w:u w:val="single"/>
            <w:lang w:val="pt-PT"/>
          </w:rPr>
          <w:t>um código de barras GS1 EAN-13</w:t>
        </w:r>
      </w:hyperlink>
      <w:r w:rsidRPr="006345A2">
        <w:rPr>
          <w:rFonts w:ascii="Noto Sans" w:eastAsia="Times New Roman" w:hAnsi="Noto Sans" w:cs="Noto Sans"/>
          <w:sz w:val="22"/>
          <w:lang w:val="pt-PT"/>
        </w:rPr>
        <w:t xml:space="preserve"> no ponto de venda, incluindo o Número global de item comercial (GTIN) do produto e um URL fixo opcional para leitura pelo consumidor. Estes códigos são standardizados, fornecidos pela marca como parte do trabalho artístico, e podem ser impressos em massa utilizando processos analógicos ou digitais, desde que sejam cumpridos os standards de resolução e qualidade exigidos.</w:t>
      </w:r>
    </w:p>
    <w:p w14:paraId="57FDE194"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Os códigos 2D variáveis e serializados, que incorporam informações específicas do artigo ao nível do lote ou identificadores únicos (por exemplo, para anticontrafação), permitem obter um valor mais elevado para as marcas, mas a sua produção é mais complexa. A produção à escala exige um fluxo de trabalho de impressão digital com capacidade de dados variáveis. As opções incluem uma impressora digital de etiquetas ou uma impressora para cartão canelado, que imprimem tanto o trabalho artístico como os códigos variáveis, uma impressora monocromática a jato de tinta que faz a sobre impressão dos códigos como parte de uma linha híbrida, ou ainda a personalização offline, nas fases finais, de etiquetas e embalagens pré-impressas. </w:t>
      </w:r>
    </w:p>
    <w:p w14:paraId="41C3C55B" w14:textId="20F5654F"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As marcas também terão abordagens diferentes para gerar códigos 2D variáveis. Os fabricantes poderão ter de licenciar uma ou mais APIs de terceiros para ligar os códigos a uma base de dados que suporte </w:t>
      </w:r>
      <w:hyperlink r:id="rId8" w:history="1">
        <w:r w:rsidRPr="006345A2">
          <w:rPr>
            <w:rFonts w:ascii="Noto Sans" w:eastAsia="Times New Roman" w:hAnsi="Noto Sans" w:cs="Noto Sans"/>
            <w:color w:val="0563C1" w:themeColor="hyperlink"/>
            <w:sz w:val="22"/>
            <w:u w:val="single"/>
            <w:lang w:val="pt-PT"/>
          </w:rPr>
          <w:t>passaportes digitais de produto</w:t>
        </w:r>
      </w:hyperlink>
      <w:r w:rsidRPr="006345A2">
        <w:rPr>
          <w:rFonts w:ascii="Noto Sans" w:eastAsia="Times New Roman" w:hAnsi="Noto Sans" w:cs="Noto Sans"/>
          <w:sz w:val="22"/>
          <w:lang w:val="pt-PT"/>
        </w:rPr>
        <w:t xml:space="preserve">, com as informações necessárias sobre consumidor, retalho e cadeia de abastecimento. A colaboração próxima com os fornecedores da API e do fluxo de trabalho de impressão será essencial para configurar ligações seguras e protocolos de transferência de dados, permitindo a atribuição automática de códigos exclusivos. </w:t>
      </w:r>
    </w:p>
    <w:p w14:paraId="0E76FEB1" w14:textId="77777777" w:rsidR="006345A2" w:rsidRPr="006345A2" w:rsidRDefault="006345A2" w:rsidP="006345A2">
      <w:pPr>
        <w:spacing w:before="120" w:after="240" w:line="240" w:lineRule="auto"/>
        <w:rPr>
          <w:rFonts w:ascii="Noto Sans" w:eastAsia="Times New Roman" w:hAnsi="Noto Sans" w:cs="Noto Sans"/>
          <w:sz w:val="22"/>
          <w:lang w:val="pt-BR"/>
        </w:rPr>
      </w:pPr>
      <w:r w:rsidRPr="006345A2">
        <w:rPr>
          <w:rFonts w:ascii="Noto Sans" w:eastAsia="Times New Roman" w:hAnsi="Noto Sans" w:cs="Noto Sans"/>
          <w:sz w:val="22"/>
          <w:lang w:val="pt-PT"/>
        </w:rPr>
        <w:lastRenderedPageBreak/>
        <w:t xml:space="preserve">A serialização pode também exigir um alinhamento de dados </w:t>
      </w:r>
      <w:r w:rsidRPr="006345A2">
        <w:rPr>
          <w:rFonts w:ascii="Noto Sans" w:eastAsia="Times New Roman" w:hAnsi="Noto Sans" w:cs="Noto Sans"/>
          <w:i/>
          <w:iCs/>
          <w:sz w:val="22"/>
          <w:lang w:val="pt-PT"/>
        </w:rPr>
        <w:t xml:space="preserve">just-in-time </w:t>
      </w:r>
      <w:r w:rsidRPr="006345A2">
        <w:rPr>
          <w:rFonts w:ascii="Noto Sans" w:eastAsia="Times New Roman" w:hAnsi="Noto Sans" w:cs="Noto Sans"/>
          <w:sz w:val="22"/>
          <w:lang w:val="pt-PT"/>
        </w:rPr>
        <w:t>entre a produção do cliente e a produção de etiquetas, para evitar desperdícios ou recolhas de produto, bem como a implementação de processos para gerir rejeições.</w:t>
      </w:r>
    </w:p>
    <w:p w14:paraId="06157C7C"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b/>
          <w:bCs/>
          <w:sz w:val="22"/>
          <w:lang w:val="pt-PT"/>
        </w:rPr>
        <w:t xml:space="preserve">Garantir a qualidade da leitura de códigos QR </w:t>
      </w:r>
    </w:p>
    <w:p w14:paraId="01554CA9" w14:textId="74986596"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 qualidade de impressão, a nitidez e o contraste são fundamentais para uma leitura consistente de </w:t>
      </w:r>
      <w:hyperlink r:id="rId9" w:history="1">
        <w:r w:rsidRPr="006345A2">
          <w:rPr>
            <w:rFonts w:ascii="Noto Sans" w:eastAsia="Times New Roman" w:hAnsi="Noto Sans" w:cs="Noto Sans"/>
            <w:color w:val="0000EE"/>
            <w:sz w:val="22"/>
            <w:u w:val="single"/>
            <w:lang w:val="pt-PT"/>
          </w:rPr>
          <w:t>códigos QR GS1 ou DataMatrix</w:t>
        </w:r>
      </w:hyperlink>
      <w:r w:rsidRPr="006345A2">
        <w:rPr>
          <w:rFonts w:ascii="Noto Sans" w:eastAsia="Times New Roman" w:hAnsi="Noto Sans" w:cs="Noto Sans"/>
          <w:sz w:val="22"/>
          <w:lang w:val="pt-PT"/>
        </w:rPr>
        <w:t xml:space="preserve"> em ambientes reais. Os potenciais problemas a considerar incluem a distorção devida ao aumento do ponto (dot gain) e a dispersão da tinta no substrato nos processos de flexografia e jato de tinta digital, bem como a fraca aderência, secagem e cura da tinta, fatores que podem reduzir a durabilidade do código.</w:t>
      </w:r>
    </w:p>
    <w:p w14:paraId="406A97EE" w14:textId="77777777" w:rsidR="006345A2" w:rsidRPr="006345A2" w:rsidRDefault="006345A2" w:rsidP="006345A2">
      <w:pPr>
        <w:spacing w:before="120" w:after="24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 cor e o acabamento do substrato também podem afetar a legibilidade do código 2D. </w:t>
      </w:r>
      <w:hyperlink r:id="rId10" w:history="1">
        <w:r w:rsidRPr="006345A2">
          <w:rPr>
            <w:rFonts w:ascii="Noto Sans" w:eastAsia="Times New Roman" w:hAnsi="Noto Sans" w:cs="Noto Sans"/>
            <w:color w:val="0000EE"/>
            <w:sz w:val="22"/>
            <w:u w:val="single"/>
            <w:lang w:val="pt-PT"/>
          </w:rPr>
          <w:t>Os substratos brilhantes ou refletores</w:t>
        </w:r>
      </w:hyperlink>
      <w:r w:rsidRPr="006345A2">
        <w:rPr>
          <w:rFonts w:ascii="Noto Sans" w:eastAsia="Times New Roman" w:hAnsi="Noto Sans" w:cs="Noto Sans"/>
          <w:sz w:val="22"/>
          <w:lang w:val="pt-PT"/>
        </w:rPr>
        <w:t xml:space="preserve"> podem causar encandeamento, enquanto os fundos coloridos podem reduzir o contraste, impedindo a leitura correta do código.</w:t>
      </w:r>
    </w:p>
    <w:p w14:paraId="54536991"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Para evitar problemas no ponto de venda, os fabricantes devem verificar os códigos QR durante o processo de impressão para destacar potenciais problemas de legibilidade. Os sistemas de visualização existentes podem monitorizar a qualidade de impressão, mas garantir uma leitura consistente, independentemente das condições de iluminação, da distância de captura e da velocidade nos ambientes de digitalização dos pontos de venda, da cadeia de abastecimento e do consumidor, requer uma tecnologia mais avançada. </w:t>
      </w:r>
    </w:p>
    <w:p w14:paraId="1F05B865"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Ao classificar a qualidade do código, os verificadores identificam códigos que não cumprem as normas e garantem que os códigos podem ser lidos de forma fiável em todas as tecnologias de digitalização. Embora os sistemas de visualização também possuam ou possam ser atualizados com capacidades de verificação de códigos, alguns fabricantes terão de atualizar para um novo sistema de visualização ou tecnologia de câmara. A consideração atempada da compatibilidade com o equipamento de impressão e os fluxos de trabalho existentes, o suporte de software para normas de verificação, o apoio à integração dos fornecedores de equipamento, a facilidade de utilização do sistema e quaisquer potenciais necessidades de formação maximizarão o retorno do investimento. </w:t>
      </w:r>
    </w:p>
    <w:p w14:paraId="397FB091"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b/>
          <w:bCs/>
          <w:sz w:val="22"/>
          <w:lang w:val="pt-PT"/>
        </w:rPr>
        <w:t>Garantir a conformidade com as normas de qualidade</w:t>
      </w:r>
    </w:p>
    <w:p w14:paraId="72A57527"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Ao contrário dos códigos QR de campanhas não regulamentadas, os códigos QR GS1 e DataMatrix devem cumprir uma </w:t>
      </w:r>
      <w:hyperlink r:id="rId11" w:history="1">
        <w:r w:rsidRPr="006345A2">
          <w:rPr>
            <w:rFonts w:ascii="Noto Sans" w:eastAsia="Times New Roman" w:hAnsi="Noto Sans" w:cs="Noto Sans"/>
            <w:color w:val="0000EE"/>
            <w:sz w:val="22"/>
            <w:u w:val="single"/>
            <w:lang w:val="pt-PT"/>
          </w:rPr>
          <w:t>classificação mínima de impressão de 1,5, de acordo com a ISO/IEC 15415:2024</w:t>
        </w:r>
      </w:hyperlink>
      <w:r w:rsidRPr="006345A2">
        <w:rPr>
          <w:rFonts w:ascii="Noto Sans" w:eastAsia="Times New Roman" w:hAnsi="Noto Sans" w:cs="Noto Sans"/>
          <w:sz w:val="22"/>
          <w:lang w:val="pt-PT"/>
        </w:rPr>
        <w:t xml:space="preserve">, a norma internacional para avaliar a precisão e a legibilidade de códigos 2D impressos, a fim de manter taxas de leitura elevadas nas caixas de pagamento do retalho. Ao demonstrar a conformidade através de registos de qualidade, relatórios de verificação e amostras para apoiar auditorias e requisitos regulamentares, os fabricantes podem criar confiança e tranquilizar as marcas.  </w:t>
      </w:r>
    </w:p>
    <w:p w14:paraId="508C4823"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lastRenderedPageBreak/>
        <w:t>Os fabricantes também devem trabalhar em estreita colaboração com as marcas para definir os parâmetros e as responsabilidades contratuais da respetiva aplicação de códigos 2D. Isto pode incluir a clarificação das responsabilidades de geração de códigos, a atribuição de responsabilidade por duplicados ou falhas e a especificação de protocolos de auditoria e verificação. Uma comunicação aberta e contínua alinha os fabricantes com os requisitos da marca e ajuda a antecipar os desafios.</w:t>
      </w:r>
    </w:p>
    <w:p w14:paraId="30B84101"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b/>
          <w:bCs/>
          <w:sz w:val="22"/>
          <w:lang w:val="pt-PT"/>
        </w:rPr>
        <w:t>A comunicação como chave do sucesso</w:t>
      </w:r>
    </w:p>
    <w:p w14:paraId="27A2987C" w14:textId="77777777"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À medida que as marcas aceleram as suas estratégias de códigos 2D, a comunicação entre os fabricantes e as marcas desempenha um papel importante na clarificação das responsabilidades contratuais e na prevenção de potenciais problemas. A compreensão antecipada das aplicações e dos planos futuros de um cliente de marca permite aos fabricantes prepararem-se e investirem na tecnologia necessária. </w:t>
      </w:r>
    </w:p>
    <w:p w14:paraId="23C08DB6" w14:textId="3637317B" w:rsidR="006345A2" w:rsidRPr="006345A2" w:rsidRDefault="006345A2" w:rsidP="006345A2">
      <w:pPr>
        <w:spacing w:before="120" w:after="120" w:line="240" w:lineRule="auto"/>
        <w:rPr>
          <w:rFonts w:ascii="Noto Sans" w:eastAsia="Times New Roman" w:hAnsi="Noto Sans" w:cs="Noto Sans"/>
          <w:sz w:val="22"/>
          <w:lang w:val="pt-BR"/>
        </w:rPr>
      </w:pPr>
      <w:r w:rsidRPr="006345A2">
        <w:rPr>
          <w:rFonts w:ascii="Noto Sans" w:eastAsia="Times New Roman" w:hAnsi="Noto Sans" w:cs="Noto Sans"/>
          <w:sz w:val="22"/>
          <w:lang w:val="pt-PT"/>
        </w:rPr>
        <w:t xml:space="preserve">Ao agir desde já e ao estabelecer parcerias com um fornecedor de impressão digital </w:t>
      </w:r>
      <w:hyperlink r:id="rId12" w:history="1">
        <w:r w:rsidRPr="006345A2">
          <w:rPr>
            <w:rFonts w:ascii="Noto Sans" w:eastAsia="Times New Roman" w:hAnsi="Noto Sans" w:cs="Noto Sans"/>
            <w:color w:val="0563C1" w:themeColor="hyperlink"/>
            <w:sz w:val="22"/>
            <w:u w:val="single"/>
            <w:lang w:val="pt-PT"/>
          </w:rPr>
          <w:t>especializado em impressão avançada de dados variáveis</w:t>
        </w:r>
      </w:hyperlink>
      <w:r w:rsidRPr="006345A2">
        <w:rPr>
          <w:rFonts w:ascii="Noto Sans" w:eastAsia="Times New Roman" w:hAnsi="Noto Sans" w:cs="Noto Sans"/>
          <w:sz w:val="22"/>
          <w:lang w:val="pt-PT"/>
        </w:rPr>
        <w:t xml:space="preserve"> e na vanguarda dos regulamentos emergentes relativos a embalagens, os fabricantes posicionam-se como parceiros e conselheiros de confiança, capazes de apoiar as marcas na transição bem-sucedida para os códigos 2D.</w:t>
      </w:r>
    </w:p>
    <w:p w14:paraId="2D094F97" w14:textId="77777777" w:rsidR="006345A2" w:rsidRPr="006345A2" w:rsidRDefault="006345A2" w:rsidP="006345A2">
      <w:pPr>
        <w:spacing w:before="120" w:after="120" w:line="240" w:lineRule="auto"/>
        <w:rPr>
          <w:rFonts w:ascii="Noto Sans" w:eastAsia="Times New Roman" w:hAnsi="Noto Sans" w:cs="Noto Sans"/>
          <w:sz w:val="22"/>
        </w:rPr>
      </w:pPr>
      <w:r w:rsidRPr="006345A2">
        <w:rPr>
          <w:rFonts w:ascii="Noto Sans" w:eastAsia="Times New Roman" w:hAnsi="Noto Sans" w:cs="Noto Sans"/>
          <w:sz w:val="22"/>
          <w:lang w:val="pt-PT"/>
        </w:rPr>
        <w:t>FIM</w:t>
      </w:r>
    </w:p>
    <w:p w14:paraId="29B953BD" w14:textId="2C8B5DBF" w:rsidR="006C6C7C" w:rsidRPr="00FC465F" w:rsidRDefault="00D66051" w:rsidP="006C6C7C">
      <w:pPr>
        <w:spacing w:line="240" w:lineRule="auto"/>
        <w:rPr>
          <w:lang w:val="pt-BR"/>
        </w:rPr>
      </w:pPr>
      <w:r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Isenção de responsabilidade</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hAnsi="Noto Sans" w:cs="Noto Sans"/>
          <w:b/>
          <w:bCs/>
          <w:szCs w:val="18"/>
          <w:lang w:val="pt-PT"/>
        </w:rPr>
        <w:t>Tintas</w:t>
      </w:r>
      <w:r w:rsidR="006C6C7C" w:rsidRPr="0082657D">
        <w:rPr>
          <w:rFonts w:ascii="Noto Sans" w:hAnsi="Noto Sans" w:cs="Noto Sans"/>
          <w:szCs w:val="18"/>
          <w:lang w:val="pt-PT"/>
        </w:rPr>
        <w:br/>
      </w:r>
      <w:r w:rsidR="006C6C7C" w:rsidRPr="00FC465F">
        <w:rPr>
          <w:rFonts w:ascii="Noto Sans" w:hAnsi="Noto Sans" w:cs="Noto Sans"/>
          <w:szCs w:val="18"/>
          <w:lang w:val="pt-BR"/>
        </w:rPr>
        <w:t>As informações que se encontram no presente documento não devem substituir a realização dos testes adequados às suas circunstâncias e usos específicos. O grupo Domino não será, de forma alguma, responsável por qualquer tipo de confiança com base neste documento em relação à adequação de qualquer uma das nossas tintas para a sua aplicação em particular. O presente documento não faz parte de quaisquer termos e condições celebrados entre si o grupo Domino. Os Termos e Condições de venda da Domino, em particular as garantias e responsabilidades presentes nos mesmos, dever-se-ão aplicar a qualquer uma das suas compras de produtos.</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Geral</w:t>
      </w:r>
      <w:r w:rsidR="006C6C7C" w:rsidRPr="0082657D">
        <w:rPr>
          <w:rFonts w:ascii="Noto Sans" w:hAnsi="Noto Sans" w:cs="Noto Sans"/>
          <w:szCs w:val="18"/>
          <w:lang w:val="pt-PT"/>
        </w:rPr>
        <w:br/>
      </w:r>
      <w:r w:rsidR="006C6C7C" w:rsidRPr="00FC465F">
        <w:rPr>
          <w:rFonts w:ascii="Noto Sans" w:hAnsi="Noto Sans" w:cs="Noto Sans"/>
          <w:szCs w:val="18"/>
          <w:lang w:val="pt-BR"/>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Domino. O presente documento não faz parte de quaisquer termos e condições celebrados entre si e a Domino.</w:t>
      </w:r>
      <w:r w:rsidR="00062E86" w:rsidRPr="00062E86">
        <w:rPr>
          <w:rFonts w:ascii="Noto Sans" w:hAnsi="Noto Sans" w:cs="Noto Sans"/>
          <w:szCs w:val="18"/>
          <w:lang w:val="pt-PT"/>
        </w:rPr>
        <w:t xml:space="preserve"> </w:t>
      </w:r>
      <w:r w:rsidR="00062E86"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Imagens</w:t>
      </w:r>
      <w:r w:rsidR="006C6C7C" w:rsidRPr="0082657D">
        <w:rPr>
          <w:rFonts w:ascii="Noto Sans" w:hAnsi="Noto Sans" w:cs="Noto Sans"/>
          <w:szCs w:val="18"/>
          <w:lang w:val="pt-PT"/>
        </w:rPr>
        <w:br/>
      </w:r>
      <w:r w:rsidR="006C6C7C" w:rsidRPr="00FC465F">
        <w:rPr>
          <w:rFonts w:ascii="Noto Sans" w:hAnsi="Noto Sans" w:cs="Noto Sans"/>
          <w:szCs w:val="18"/>
          <w:lang w:val="pt-BR"/>
        </w:rPr>
        <w:t>As imagens podem incluir melhorias ou extras opcionais. A qualidade de impressão pode variar de acordo com os consumíveis, o equipamento, a superfície e outros fatores. As imagens e fotografias não fazem parte de quaisquer termos e condições celebrados entre si e a</w:t>
      </w:r>
      <w:r w:rsidR="006C6C7C">
        <w:rPr>
          <w:rFonts w:ascii="Noto Sans" w:hAnsi="Noto Sans" w:cs="Noto Sans"/>
          <w:szCs w:val="18"/>
          <w:lang w:val="pt-BR"/>
        </w:rPr>
        <w:t xml:space="preserve"> </w:t>
      </w:r>
      <w:r w:rsidR="006C6C7C" w:rsidRPr="00FC465F">
        <w:rPr>
          <w:rFonts w:ascii="Noto Sans" w:hAnsi="Noto Sans" w:cs="Noto Sans"/>
          <w:szCs w:val="18"/>
          <w:lang w:val="pt-BR"/>
        </w:rPr>
        <w:t>Domino.</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Vídeos</w:t>
      </w:r>
      <w:r w:rsidR="006C6C7C" w:rsidRPr="0082657D">
        <w:rPr>
          <w:rFonts w:ascii="Noto Sans" w:hAnsi="Noto Sans" w:cs="Noto Sans"/>
          <w:szCs w:val="18"/>
          <w:lang w:val="pt-PT"/>
        </w:rPr>
        <w:br/>
      </w:r>
      <w:r w:rsidR="006C6C7C" w:rsidRPr="00FC465F">
        <w:rPr>
          <w:rFonts w:ascii="Noto Sans" w:hAnsi="Noto Sans" w:cs="Noto Sans"/>
          <w:szCs w:val="18"/>
          <w:lang w:val="pt-BR"/>
        </w:rPr>
        <w:t xml:space="preserve">Este vídeo é apenas ilustrativo e pode incluir extras opcionais. Os valores relativos ao desempenho foram obtidos sob condições específicas; o desempenho individual pode variar. Os erros e as paragens das linhas </w:t>
      </w:r>
      <w:r w:rsidR="006C6C7C" w:rsidRPr="00FC465F">
        <w:rPr>
          <w:rFonts w:ascii="Noto Sans" w:hAnsi="Noto Sans" w:cs="Noto Sans"/>
          <w:szCs w:val="18"/>
          <w:lang w:val="pt-BR"/>
        </w:rPr>
        <w:lastRenderedPageBreak/>
        <w:t>de produção podem ser inevitáveis. Nada do que se encontra neste vídeo faz parte de qualquer contrato celebrado entre si e a Domino.</w:t>
      </w:r>
      <w:r w:rsidR="006C6C7C" w:rsidRPr="0082657D">
        <w:rPr>
          <w:rFonts w:ascii="Noto Sans" w:hAnsi="Noto Sans" w:cs="Noto Sans"/>
          <w:szCs w:val="18"/>
          <w:lang w:val="pt-PT"/>
        </w:rPr>
        <w:br/>
      </w:r>
      <w:r w:rsidR="006C6C7C" w:rsidRPr="0082657D">
        <w:rPr>
          <w:rFonts w:ascii="Noto Sans" w:eastAsia="Gill Sans" w:hAnsi="Noto Sans" w:cs="Noto Sans"/>
          <w:szCs w:val="18"/>
          <w:lang w:val="pt-PT"/>
        </w:rPr>
        <w:br/>
      </w:r>
      <w:bookmarkStart w:id="0" w:name="_Hlk61949672"/>
      <w:r w:rsidR="006C6C7C" w:rsidRPr="0082657D">
        <w:rPr>
          <w:rFonts w:ascii="Noto Sans" w:eastAsia="Gill Sans" w:hAnsi="Noto Sans" w:cs="Noto Sans"/>
          <w:b/>
          <w:szCs w:val="18"/>
          <w:lang w:val="pt-PT"/>
        </w:rPr>
        <w:br/>
      </w:r>
      <w:r w:rsidR="006C6C7C" w:rsidRPr="00AB22C5">
        <w:rPr>
          <w:rFonts w:ascii="Noto Sans" w:eastAsia="Gill Sans" w:hAnsi="Noto Sans" w:cs="Noto Sans"/>
          <w:b/>
          <w:bCs/>
          <w:szCs w:val="18"/>
          <w:lang w:val="pt-PT"/>
        </w:rPr>
        <w:t>Notas para os editores:</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Acerca da Domino</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szCs w:val="18"/>
          <w:lang w:val="pt-PT"/>
        </w:rPr>
        <w:t>A Digital Printing Solutions é uma divisão da Domino Printing Sciences. Fundada em 1978, a empresa estabeleceu uma reputação global relativamente ao desenvolvimento e fabrico de tecnologias de impressão a jato de tinta digital, assim como aos seus produtos de pós-venda e ao atendimento ao cliente a nível mundial.  Os seus serviços para o setor de impressão comercial incluem impressoras digitais a jato de tinta e sistemas de controlo desenvolvidos para proporcionar soluções para uma gama completa de aplicações de impressão de dados variáveis e etiquetagem.</w:t>
      </w:r>
      <w:r w:rsidR="006C6C7C">
        <w:rPr>
          <w:rFonts w:ascii="Noto Sans" w:eastAsia="Gill Sans" w:hAnsi="Noto Sans" w:cs="Noto Sans"/>
          <w:szCs w:val="18"/>
          <w:lang w:val="pt-PT"/>
        </w:rPr>
        <w:br/>
      </w:r>
      <w:r w:rsidR="006C6C7C">
        <w:rPr>
          <w:rFonts w:ascii="Noto Sans" w:eastAsia="Gill Sans" w:hAnsi="Noto Sans" w:cs="Noto Sans"/>
          <w:szCs w:val="18"/>
          <w:lang w:val="pt-PT"/>
        </w:rPr>
        <w:br/>
      </w:r>
      <w:r w:rsidR="006C6C7C" w:rsidRPr="00AB22C5">
        <w:rPr>
          <w:rFonts w:ascii="Noto Sans" w:eastAsia="Gill Sans" w:hAnsi="Noto Sans" w:cs="Noto Sans"/>
          <w:szCs w:val="18"/>
          <w:lang w:val="pt-PT"/>
        </w:rPr>
        <w:t>Todas as impressoras da Domino são desenvolvidas para satisfazerem as exigências de alta velocidade e elevada qualidade em ambientes de impressão comercial, apresentando novas capacidades a diferentes setores, incluindo os da etiquetagem, publicações e impressão de segurança, transacional, conversão de embalagens, cartões plastificados, bilhetes, jogos de cartas e formulários, bem como os setores de publicidade endereçada e serviços postais.</w:t>
      </w:r>
      <w:r w:rsidR="006C6C7C">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FC465F">
        <w:rPr>
          <w:rFonts w:ascii="Noto Sans" w:eastAsia="Gill Sans" w:hAnsi="Noto Sans" w:cs="Noto Sans"/>
          <w:szCs w:val="18"/>
          <w:lang w:val="pt-BR"/>
        </w:rPr>
        <w:t>A Domino emprega mais de 3000 pessoas em todo mundo e comercializa para mais de 120 países através de uma rede global de 29 filiais e mais de 200 distribuidores. As instalações de fabrico da Domino estão localizadas na Alemanha, China, EUA, Índia, Reino Unido, Suécia e Suíça. A Domino tornou-se uma divisão independente da Brother Industries Ltd. a 11 de junho de 2015.</w:t>
      </w:r>
      <w:r w:rsidR="006C6C7C" w:rsidRPr="0082657D">
        <w:rPr>
          <w:rFonts w:ascii="Noto Sans" w:eastAsia="Gill Sans" w:hAnsi="Noto Sans" w:cs="Noto Sans"/>
          <w:sz w:val="20"/>
          <w:szCs w:val="20"/>
          <w:lang w:val="pt-PT"/>
        </w:rPr>
        <w:br/>
      </w:r>
      <w:r w:rsidR="006C6C7C" w:rsidRPr="0082657D">
        <w:rPr>
          <w:rFonts w:ascii="Noto Sans" w:eastAsia="Gill Sans" w:hAnsi="Noto Sans" w:cs="Noto Sans"/>
          <w:sz w:val="20"/>
          <w:szCs w:val="20"/>
          <w:lang w:val="pt-PT"/>
        </w:rPr>
        <w:br/>
      </w:r>
      <w:r w:rsidR="006C6C7C" w:rsidRPr="00AB22C5">
        <w:rPr>
          <w:rFonts w:ascii="Noto Sans" w:eastAsia="Gill Sans" w:hAnsi="Noto Sans" w:cs="Noto Sans"/>
          <w:szCs w:val="18"/>
          <w:lang w:val="pt-PT"/>
        </w:rPr>
        <w:t xml:space="preserve">Para obter mais informações sobre a Domino, visite </w:t>
      </w:r>
      <w:hyperlink r:id="rId13" w:history="1">
        <w:r w:rsidR="006C6C7C" w:rsidRPr="00AB22C5">
          <w:rPr>
            <w:rStyle w:val="Hyperlink"/>
            <w:rFonts w:ascii="Noto Sans" w:eastAsia="Gill Sans" w:hAnsi="Noto Sans" w:cs="Noto Sans"/>
            <w:szCs w:val="18"/>
            <w:lang w:val="pt-PT"/>
          </w:rPr>
          <w:t>www.domino-printing.pt</w:t>
        </w:r>
      </w:hyperlink>
      <w:r w:rsidR="006C6C7C" w:rsidRPr="00AB22C5">
        <w:rPr>
          <w:rFonts w:ascii="Noto Sans" w:eastAsia="Gill Sans" w:hAnsi="Noto Sans" w:cs="Noto Sans"/>
          <w:szCs w:val="18"/>
          <w:lang w:val="pt-PT"/>
        </w:rPr>
        <w:t xml:space="preserve"> </w:t>
      </w:r>
      <w:r w:rsidR="006C6C7C" w:rsidRPr="0082657D">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Para obter mais informações, contacte:</w:t>
      </w:r>
      <w:r w:rsidR="006C6C7C">
        <w:rPr>
          <w:rFonts w:ascii="Noto Sans" w:eastAsia="Gill Sans" w:hAnsi="Noto Sans" w:cs="Noto Sans"/>
          <w:b/>
          <w:bCs/>
          <w:szCs w:val="18"/>
          <w:lang w:val="pt-PT"/>
        </w:rPr>
        <w:br/>
      </w:r>
      <w:r w:rsidR="006C6C7C">
        <w:rPr>
          <w:rFonts w:ascii="Noto Sans" w:eastAsia="Gill Sans" w:hAnsi="Noto Sans" w:cs="Noto Sans"/>
          <w:b/>
          <w:bCs/>
          <w:szCs w:val="18"/>
          <w:lang w:val="pt-PT"/>
        </w:rPr>
        <w:br/>
      </w:r>
      <w:bookmarkEnd w:id="0"/>
      <w:r w:rsidR="006C6C7C" w:rsidRPr="00FC465F">
        <w:rPr>
          <w:rFonts w:ascii="Noto Sans" w:hAnsi="Noto Sans" w:cs="Noto Sans"/>
          <w:szCs w:val="18"/>
          <w:lang w:val="pt-BR"/>
        </w:rPr>
        <w:t>Kathrin Farr</w:t>
      </w:r>
      <w:r w:rsidR="006C6C7C" w:rsidRPr="00FC465F">
        <w:rPr>
          <w:rFonts w:ascii="Noto Sans" w:hAnsi="Noto Sans" w:cs="Noto Sans"/>
          <w:szCs w:val="18"/>
          <w:lang w:val="pt-BR"/>
        </w:rPr>
        <w:br/>
        <w:t>Content Executive (Digital Printing)</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t xml:space="preserve">Tel. : +44 (0) </w:t>
      </w:r>
      <w:hyperlink r:id="rId14" w:history="1">
        <w:r w:rsidR="006C6C7C"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5" w:history="1">
        <w:r w:rsidR="006C6C7C" w:rsidRPr="00FC465F">
          <w:rPr>
            <w:rStyle w:val="Hyperlink"/>
            <w:rFonts w:ascii="Noto Sans" w:hAnsi="Noto Sans" w:cs="Noto Sans"/>
            <w:szCs w:val="18"/>
            <w:lang w:val="pt-BR"/>
          </w:rPr>
          <w:t>Kathrin.Farr@domino-uk.com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r w:rsidR="006C6C7C" w:rsidRPr="00FC465F">
        <w:rPr>
          <w:rFonts w:ascii="Noto Sans" w:hAnsi="Noto Sans" w:cs="Noto Sans"/>
          <w:szCs w:val="18"/>
          <w:lang w:val="pt-BR"/>
        </w:rPr>
        <w:br/>
      </w:r>
      <w:r w:rsidR="00175248" w:rsidRPr="00175248">
        <w:rPr>
          <w:rFonts w:ascii="Noto Sans" w:hAnsi="Noto Sans" w:cs="Noto Sans"/>
          <w:szCs w:val="18"/>
          <w:lang w:val="pt-BR"/>
        </w:rPr>
        <w:t xml:space="preserve">Jade Taylor-Salazar </w:t>
      </w:r>
      <w:r w:rsidR="00175248" w:rsidRPr="00175248">
        <w:rPr>
          <w:rFonts w:ascii="Noto Sans" w:hAnsi="Noto Sans" w:cs="Noto Sans"/>
          <w:szCs w:val="18"/>
          <w:lang w:val="pt-BR"/>
        </w:rPr>
        <w:br/>
        <w:t xml:space="preserve">PR and Content Manager </w:t>
      </w:r>
      <w:r w:rsidR="00175248" w:rsidRPr="00175248">
        <w:rPr>
          <w:rFonts w:ascii="Noto Sans" w:hAnsi="Noto Sans" w:cs="Noto Sans"/>
          <w:szCs w:val="18"/>
          <w:lang w:val="pt-BR"/>
        </w:rPr>
        <w:br/>
        <w:t xml:space="preserve">Domino Printing Sciences </w:t>
      </w:r>
      <w:r w:rsidR="00175248" w:rsidRPr="00175248">
        <w:rPr>
          <w:rFonts w:ascii="Noto Sans" w:hAnsi="Noto Sans" w:cs="Noto Sans"/>
          <w:szCs w:val="18"/>
          <w:lang w:val="pt-BR"/>
        </w:rPr>
        <w:br/>
        <w:t>Tel</w:t>
      </w:r>
      <w:r w:rsidR="00175248">
        <w:rPr>
          <w:rFonts w:ascii="Noto Sans" w:hAnsi="Noto Sans" w:cs="Noto Sans"/>
          <w:szCs w:val="18"/>
          <w:lang w:val="pt-BR"/>
        </w:rPr>
        <w:t xml:space="preserve">. </w:t>
      </w:r>
      <w:r w:rsidR="00175248" w:rsidRPr="00175248">
        <w:rPr>
          <w:rFonts w:ascii="Noto Sans" w:hAnsi="Noto Sans" w:cs="Noto Sans"/>
          <w:szCs w:val="18"/>
          <w:lang w:val="pt-BR"/>
        </w:rPr>
        <w:t>: +44 (0) 1954 778780</w:t>
      </w:r>
      <w:r w:rsidR="00175248" w:rsidRPr="00175248">
        <w:rPr>
          <w:rFonts w:ascii="Noto Sans" w:hAnsi="Noto Sans" w:cs="Noto Sans"/>
          <w:szCs w:val="18"/>
          <w:lang w:val="pt-BR"/>
        </w:rPr>
        <w:br/>
      </w:r>
      <w:hyperlink r:id="rId16" w:history="1">
        <w:r w:rsidR="00175248" w:rsidRPr="00175248">
          <w:rPr>
            <w:rStyle w:val="Hyperlink"/>
            <w:rFonts w:ascii="Noto Sans" w:hAnsi="Noto Sans" w:cs="Noto Sans"/>
            <w:szCs w:val="18"/>
            <w:lang w:val="pt-BR"/>
          </w:rPr>
          <w:t>Jade.Taylor-Salazar@domino-uk.com</w:t>
        </w:r>
      </w:hyperlink>
    </w:p>
    <w:sectPr w:rsidR="006C6C7C" w:rsidRPr="00FC465F"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7111" w14:textId="77777777" w:rsidR="008B2C86" w:rsidRDefault="008B2C86" w:rsidP="00785717">
      <w:pPr>
        <w:spacing w:line="240" w:lineRule="auto"/>
      </w:pPr>
      <w:r>
        <w:separator/>
      </w:r>
    </w:p>
  </w:endnote>
  <w:endnote w:type="continuationSeparator" w:id="0">
    <w:p w14:paraId="1B22BF1E" w14:textId="77777777" w:rsidR="008B2C86" w:rsidRDefault="008B2C8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CA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2678" w14:textId="77777777" w:rsidR="00785717" w:rsidRDefault="000F6D00" w:rsidP="00785717">
    <w:pPr>
      <w:pStyle w:val="Footer"/>
    </w:pPr>
    <w:r>
      <w:rPr>
        <w:noProof/>
      </w:rPr>
      <w:drawing>
        <wp:anchor distT="0" distB="0" distL="114300" distR="114300" simplePos="0" relativeHeight="251659264" behindDoc="0" locked="0" layoutInCell="1" allowOverlap="1" wp14:anchorId="157C21E0" wp14:editId="562C3EA1">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A6B7F6D" wp14:editId="090469B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3D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78A3" w14:textId="77777777" w:rsidR="008B2C86" w:rsidRDefault="008B2C86" w:rsidP="00785717">
      <w:pPr>
        <w:spacing w:line="240" w:lineRule="auto"/>
      </w:pPr>
      <w:r>
        <w:separator/>
      </w:r>
    </w:p>
  </w:footnote>
  <w:footnote w:type="continuationSeparator" w:id="0">
    <w:p w14:paraId="45E3E8A4" w14:textId="77777777" w:rsidR="008B2C86" w:rsidRDefault="008B2C8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F32C"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D58" w14:textId="77777777" w:rsidR="000F6D00" w:rsidRDefault="002766D9">
    <w:pPr>
      <w:pStyle w:val="Header"/>
    </w:pPr>
    <w:r>
      <w:rPr>
        <w:noProof/>
      </w:rPr>
      <w:drawing>
        <wp:anchor distT="0" distB="0" distL="114300" distR="114300" simplePos="0" relativeHeight="251661312" behindDoc="0" locked="0" layoutInCell="1" allowOverlap="1" wp14:anchorId="1A046442" wp14:editId="3586F54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8D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86"/>
    <w:rsid w:val="0002201E"/>
    <w:rsid w:val="000220DA"/>
    <w:rsid w:val="00062E86"/>
    <w:rsid w:val="000F6D00"/>
    <w:rsid w:val="00175248"/>
    <w:rsid w:val="001B2E94"/>
    <w:rsid w:val="001D743C"/>
    <w:rsid w:val="002202E3"/>
    <w:rsid w:val="00240801"/>
    <w:rsid w:val="002766D9"/>
    <w:rsid w:val="00372E92"/>
    <w:rsid w:val="003C7663"/>
    <w:rsid w:val="004C6703"/>
    <w:rsid w:val="005272B1"/>
    <w:rsid w:val="005524DB"/>
    <w:rsid w:val="005741C7"/>
    <w:rsid w:val="00581FEB"/>
    <w:rsid w:val="005E6C45"/>
    <w:rsid w:val="006345A2"/>
    <w:rsid w:val="00647055"/>
    <w:rsid w:val="00660F46"/>
    <w:rsid w:val="006C6C7C"/>
    <w:rsid w:val="00785717"/>
    <w:rsid w:val="00791A4F"/>
    <w:rsid w:val="007D2B85"/>
    <w:rsid w:val="008220B7"/>
    <w:rsid w:val="00823B77"/>
    <w:rsid w:val="00842E7E"/>
    <w:rsid w:val="008916A8"/>
    <w:rsid w:val="008B2C86"/>
    <w:rsid w:val="008B6461"/>
    <w:rsid w:val="008E5E0C"/>
    <w:rsid w:val="008F3E38"/>
    <w:rsid w:val="00931996"/>
    <w:rsid w:val="009A1716"/>
    <w:rsid w:val="009A1DEC"/>
    <w:rsid w:val="009D6280"/>
    <w:rsid w:val="009E5D98"/>
    <w:rsid w:val="00A34918"/>
    <w:rsid w:val="00AB11DA"/>
    <w:rsid w:val="00B23C3C"/>
    <w:rsid w:val="00B546C5"/>
    <w:rsid w:val="00B7088D"/>
    <w:rsid w:val="00B86660"/>
    <w:rsid w:val="00BC7C15"/>
    <w:rsid w:val="00BD07B6"/>
    <w:rsid w:val="00C03CCC"/>
    <w:rsid w:val="00C063FE"/>
    <w:rsid w:val="00C44603"/>
    <w:rsid w:val="00C541FE"/>
    <w:rsid w:val="00C9203D"/>
    <w:rsid w:val="00CF1AD5"/>
    <w:rsid w:val="00D66051"/>
    <w:rsid w:val="00E03029"/>
    <w:rsid w:val="00E2710A"/>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A8D"/>
  <w15:chartTrackingRefBased/>
  <w15:docId w15:val="{A4186968-9779-44D1-BA21-C28C0E05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7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blog/2023/the-future-of-traceability-get-ready-for-the-digital-product-passport?noredirect=true&amp;utm_medium=non-paid&amp;utm_source=onlinepublication&amp;utm_content=pr-dp-2D-code-soundbite&amp;utm_campaign=2026-int-pt-Global-PR-DP-FY26-Q1" TargetMode="External"/><Relationship Id="rId13" Type="http://schemas.openxmlformats.org/officeDocument/2006/relationships/hyperlink" Target="http://www.domino-printing.pt"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pt/home.aspx?utm_medium=non-paid&amp;utm_source=onlinepublication&amp;utm_content=pr-dp-2D-code-soundbite&amp;utm_campaign=2026-int-pt-Global-PR-DP-FY26-Q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Jade.Taylor-Salaza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domino-printing.com/en/blog/2024/gs1-2d-code-sunrise-digital-qr-code-printing?noredirect=true&amp;utm_medium=non-paid&amp;utm_source=onlinepublication&amp;utm_content=pr-dp-2D-code-soundbite&amp;utm_campaign=2026-int-pt-Global-PR-DP-FY26-Q1" TargetMode="External"/><Relationship Id="rId11" Type="http://schemas.openxmlformats.org/officeDocument/2006/relationships/hyperlink" Target="https://ref.gs1.org/docs/2025/GS1-2D-colour-guide-i10-f-25-02-1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Kathrin.Farr@domino-uk.com" TargetMode="External"/><Relationship Id="rId23" Type="http://schemas.openxmlformats.org/officeDocument/2006/relationships/fontTable" Target="fontTable.xml"/><Relationship Id="rId10" Type="http://schemas.openxmlformats.org/officeDocument/2006/relationships/hyperlink" Target="https://ref.gs1.org/docs/2025/GS1-2D-colour-guide-i10-f-25-02-1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omino-printing.com/pt/blog/2021/qual-e-a-diferenca-entre-um-c0digo-de-matriz-de-dados-e-um-codigo-qr?utm_medium=non-paid&amp;utm_source=onlinepublication&amp;utm_content=pr-dp-2D-code-soundbite&amp;utm_campaign=2026-int-pt-Global-PR-DP-FY26-Q1" TargetMode="External"/><Relationship Id="rId14" Type="http://schemas.openxmlformats.org/officeDocument/2006/relationships/hyperlink" Target="tel:+44%20(0)1954%20782%20551"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2026-06-01T12:40:00Z</dcterms:created>
  <dcterms:modified xsi:type="dcterms:W3CDTF">2026-06-01T13:01:00Z</dcterms:modified>
</cp:coreProperties>
</file>