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421C" w14:textId="77777777" w:rsidR="00B73987" w:rsidRPr="00B73987" w:rsidRDefault="00B73987" w:rsidP="00B73987">
      <w:pPr>
        <w:spacing w:before="120" w:after="120" w:line="240" w:lineRule="auto"/>
        <w:rPr>
          <w:rFonts w:ascii="Noto Sans" w:eastAsia="Times New Roman" w:hAnsi="Noto Sans" w:cs="Noto Sans"/>
          <w:sz w:val="28"/>
          <w:szCs w:val="28"/>
          <w:lang w:val="nl-NL"/>
        </w:rPr>
      </w:pPr>
      <w:r w:rsidRPr="00B73987">
        <w:rPr>
          <w:rFonts w:ascii="Noto Sans" w:eastAsia="Times New Roman" w:hAnsi="Noto Sans" w:cs="Noto Sans"/>
          <w:b/>
          <w:bCs/>
          <w:sz w:val="28"/>
          <w:szCs w:val="28"/>
          <w:lang w:val="nl"/>
        </w:rPr>
        <w:t>Van print naar schap:</w:t>
      </w:r>
      <w:r w:rsidRPr="00B73987">
        <w:rPr>
          <w:rFonts w:ascii="Noto Sans" w:eastAsia="Times New Roman" w:hAnsi="Noto Sans" w:cs="Noto Sans"/>
          <w:sz w:val="28"/>
          <w:szCs w:val="28"/>
          <w:lang w:val="nl"/>
        </w:rPr>
        <w:t xml:space="preserve"> </w:t>
      </w:r>
      <w:r w:rsidRPr="00B73987">
        <w:rPr>
          <w:rFonts w:ascii="Noto Sans" w:eastAsia="Times New Roman" w:hAnsi="Noto Sans" w:cs="Noto Sans"/>
          <w:b/>
          <w:bCs/>
          <w:sz w:val="28"/>
          <w:szCs w:val="28"/>
          <w:lang w:val="nl"/>
        </w:rPr>
        <w:t>Betrouwbare, GS1-conforme 2D-codes voor labels en verpakkingen</w:t>
      </w:r>
    </w:p>
    <w:p w14:paraId="1EDBF036" w14:textId="5BDC504D"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Nu de uitrol in retail van verpakkingen en labels met </w:t>
      </w:r>
      <w:hyperlink r:id="rId6" w:history="1">
        <w:r w:rsidRPr="00B73987">
          <w:rPr>
            <w:rFonts w:ascii="Noto Sans" w:eastAsia="Times New Roman" w:hAnsi="Noto Sans" w:cs="Noto Sans"/>
            <w:color w:val="0563C1" w:themeColor="hyperlink"/>
            <w:sz w:val="22"/>
            <w:u w:val="single"/>
            <w:lang w:val="nl"/>
          </w:rPr>
          <w:t>2D-codes powered by GS1</w:t>
        </w:r>
      </w:hyperlink>
      <w:r w:rsidRPr="00B73987">
        <w:rPr>
          <w:rFonts w:ascii="Noto Sans" w:eastAsia="Times New Roman" w:hAnsi="Noto Sans" w:cs="Noto Sans"/>
          <w:sz w:val="22"/>
          <w:lang w:val="nl"/>
        </w:rPr>
        <w:t xml:space="preserve"> versnelt, schetst Toby Hayhurst, Product Manager – Digital Monochrome, Domino Printing Sciences, hoe converters zich voorbereiden op de groeiende klantvraag naar verpakkingen met geverifieerde, conforme 2D-codes.</w:t>
      </w:r>
    </w:p>
    <w:p w14:paraId="769AF864"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b/>
          <w:bCs/>
          <w:sz w:val="22"/>
          <w:lang w:val="nl"/>
        </w:rPr>
        <w:t>De juiste printapparatuur kiezen</w:t>
      </w:r>
    </w:p>
    <w:p w14:paraId="32381E0C"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2D-codes powered by GS1 zijn multifunctionele gegevensdragers voor producent-, prijs en consumenteninformatie, en het is dus uiterst belangrijk dat deze correct zijn. Codes die niet scannen, schaden het vertrouwen van retailers en consumenten, en creëren een negatief beeld van de verpakkingsleverancier. Het is daarom essentieel de juiste print- en verificatieapparatuur, evenals de bijbehorende workflows te selecteren voor converters. </w:t>
      </w:r>
    </w:p>
    <w:p w14:paraId="2DE586CE"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Een belangrijke overweging is of een merk statische of variabele QR-codes inzet en wat de gevraagde volumes zijn. Statische codes </w:t>
      </w:r>
      <w:hyperlink r:id="rId7" w:history="1">
        <w:r w:rsidRPr="00B73987">
          <w:rPr>
            <w:rFonts w:ascii="Noto Sans" w:eastAsia="Times New Roman" w:hAnsi="Noto Sans" w:cs="Noto Sans"/>
            <w:color w:val="0563C1" w:themeColor="hyperlink"/>
            <w:sz w:val="22"/>
            <w:u w:val="single"/>
            <w:lang w:val="nl"/>
          </w:rPr>
          <w:t>vervangen een GS1 EAN-13 barcode</w:t>
        </w:r>
      </w:hyperlink>
      <w:r w:rsidRPr="00B73987">
        <w:rPr>
          <w:rFonts w:ascii="Noto Sans" w:eastAsia="Times New Roman" w:hAnsi="Noto Sans" w:cs="Noto Sans"/>
          <w:sz w:val="22"/>
          <w:lang w:val="nl"/>
        </w:rPr>
        <w:t> op het verkooppunt, inclusief het Global Trade Item Number (GTIN) van het product en een optionele vaste URL die de consument kan scannen. Deze codes zijn gestandaardiseerd, worden door het merk aangeleverd als onderdeel van het artwork en kunnen in bulk analoog of digitaal worden geprint, mits aan de vereiste resolutie- en kwaliteitsnormen wordt voldaan.</w:t>
      </w:r>
    </w:p>
    <w:p w14:paraId="59715B82"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Variabele en geserialiseerde 2D-codes met artikelspecifieke informatie op batchniveau of unieke identificatiecodes (bijv. om vervalsing tegen te gaan) bieden merken hogere waarde, maar zijn complex in hun productie. Productie op schaal vraagt om een digitale printworkflow met variabele data. Opties omvatten een digitale labelpers of golfkartonpers die zowel het artwork als de variabele codes print, een monochrome inkjetprinter die codes overprint als onderdeel van een hybride lijn, of offline aanpassing in een laat stadium van voorgeprinte labels en verpakkingen. </w:t>
      </w:r>
    </w:p>
    <w:p w14:paraId="6CD07FC9" w14:textId="57A31A3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Merken zullen ook verschillen in de manier waarop ze variabele 2D-codes genereren. Het is mogelijk dat converters een licentie moeten nemen op een of meer API's van derden om de codes te koppelen aan een database die ondersteuning biedt voor </w:t>
      </w:r>
      <w:hyperlink r:id="rId8" w:history="1">
        <w:r w:rsidRPr="00B73987">
          <w:rPr>
            <w:rFonts w:ascii="Noto Sans" w:eastAsia="Times New Roman" w:hAnsi="Noto Sans" w:cs="Noto Sans"/>
            <w:color w:val="0563C1" w:themeColor="hyperlink"/>
            <w:sz w:val="22"/>
            <w:u w:val="single"/>
            <w:lang w:val="nl"/>
          </w:rPr>
          <w:t>digitale productpaspoorten</w:t>
        </w:r>
      </w:hyperlink>
      <w:r w:rsidRPr="00B73987">
        <w:rPr>
          <w:rFonts w:ascii="Noto Sans" w:eastAsia="Times New Roman" w:hAnsi="Noto Sans" w:cs="Noto Sans"/>
          <w:sz w:val="22"/>
          <w:lang w:val="nl"/>
        </w:rPr>
        <w:t xml:space="preserve"> met de vereiste consumenten-, retailer- en toeleveringsketeninformatie. Nauwe samenwerking met API-leverancier(s) en de leverancier van de persworkflow is vereist om veilige verbindingen en protocollen voor data-overdracht te configureren en automatische toewijzing van unieke codes mogelijk te maken. </w:t>
      </w:r>
    </w:p>
    <w:p w14:paraId="15C34200" w14:textId="77777777" w:rsidR="00B73987" w:rsidRPr="00B73987" w:rsidRDefault="00B73987" w:rsidP="00B73987">
      <w:pPr>
        <w:spacing w:before="120" w:after="240" w:line="240" w:lineRule="auto"/>
        <w:rPr>
          <w:rFonts w:ascii="Noto Sans" w:eastAsia="Times New Roman" w:hAnsi="Noto Sans" w:cs="Noto Sans"/>
          <w:sz w:val="22"/>
          <w:lang w:val="nl-NL"/>
        </w:rPr>
      </w:pPr>
      <w:r w:rsidRPr="00B73987">
        <w:rPr>
          <w:rFonts w:ascii="Noto Sans" w:eastAsia="Times New Roman" w:hAnsi="Noto Sans" w:cs="Noto Sans"/>
          <w:sz w:val="22"/>
          <w:lang w:val="nl"/>
        </w:rPr>
        <w:lastRenderedPageBreak/>
        <w:t>Serialisatie vereist mogelijk ook just-in-time data-afstemming tussen klantproductie en labelproductie om afval of terugroepacties te voorkomen. Daarnaast moeten processen worden opgezet om afgekeurde producten te beheren.</w:t>
      </w:r>
    </w:p>
    <w:p w14:paraId="7EC7B6C3"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b/>
          <w:bCs/>
          <w:sz w:val="22"/>
          <w:lang w:val="nl"/>
        </w:rPr>
        <w:t xml:space="preserve">Scankwaliteit van QR-codes garanderen </w:t>
      </w:r>
    </w:p>
    <w:p w14:paraId="4EBB62F5" w14:textId="5AEE67AF"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Printkwaliteit, helderheid en contrast zijn essentieel voor het consistent scannen van </w:t>
      </w:r>
      <w:hyperlink r:id="rId9" w:history="1">
        <w:r w:rsidRPr="00B73987">
          <w:rPr>
            <w:rFonts w:ascii="Noto Sans" w:eastAsia="Times New Roman" w:hAnsi="Noto Sans" w:cs="Noto Sans"/>
            <w:color w:val="0000EE"/>
            <w:sz w:val="22"/>
            <w:u w:val="single"/>
            <w:lang w:val="nl"/>
          </w:rPr>
          <w:t>GS1 QR- of DataMatrix-code</w:t>
        </w:r>
      </w:hyperlink>
      <w:r w:rsidRPr="00B73987">
        <w:rPr>
          <w:rFonts w:ascii="Noto Sans" w:eastAsia="Times New Roman" w:hAnsi="Noto Sans" w:cs="Noto Sans"/>
          <w:sz w:val="22"/>
          <w:lang w:val="nl"/>
        </w:rPr>
        <w:t xml:space="preserve"> in de praktijk. Potentiële problemen om rekening mee te houden, zijn onder andere puntverbreding en inktverspreiding op de ondergrond in flexo- en digitale inkjetprocessen, evenals slechte hechting, droging en uitharding van de inkt. Dit kan de duurzaamheid van de code aantasten.</w:t>
      </w:r>
    </w:p>
    <w:p w14:paraId="05D01E42" w14:textId="77777777" w:rsidR="00B73987" w:rsidRPr="00B73987" w:rsidRDefault="00B73987" w:rsidP="00B73987">
      <w:pPr>
        <w:spacing w:before="120" w:after="24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De kleur en afwerking van de ondergrond zijn ook van invloed op de leesbaarheid van 2D-codes. </w:t>
      </w:r>
      <w:hyperlink r:id="rId10" w:history="1">
        <w:r w:rsidRPr="00B73987">
          <w:rPr>
            <w:rFonts w:ascii="Noto Sans" w:eastAsia="Times New Roman" w:hAnsi="Noto Sans" w:cs="Noto Sans"/>
            <w:color w:val="0000EE"/>
            <w:sz w:val="22"/>
            <w:u w:val="single"/>
            <w:lang w:val="nl"/>
          </w:rPr>
          <w:t>Glanzende of reflecterende ondergronden</w:t>
        </w:r>
      </w:hyperlink>
      <w:r w:rsidRPr="00B73987">
        <w:rPr>
          <w:rFonts w:ascii="Noto Sans" w:eastAsia="Times New Roman" w:hAnsi="Noto Sans" w:cs="Noto Sans"/>
          <w:sz w:val="22"/>
          <w:lang w:val="nl"/>
        </w:rPr>
        <w:t xml:space="preserve"> kunnen schittering veroorzaken, terwijl gekleurde achtergronden het contrast kunnen verminderen, waardoor de code mogelijk niet goed wordt gelezen.</w:t>
      </w:r>
    </w:p>
    <w:p w14:paraId="1C2587DF"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Converters moeten QR-codes tijdens het printproces controleren om potentiële leesbaarheidsproblemen aan het licht te brengen en zo problemen op het verkooppunt te voorkomen. Bestaande vision-systemen kunnen de printkwaliteit controleren, maar om scanconsistentie te bereiken ongeacht verlichting, scanafstand en -snelheid van de scanomgeving van verkooppunten, toeleveringsketens en consumenten, moet geavanceerdere technologie worden ingezet. </w:t>
      </w:r>
    </w:p>
    <w:p w14:paraId="66DA2AD6"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Verificatieapparatuur beoordeelt de codeerkwaliteit en identificeert ontoereikende codes om zeker te stellen dat codes goed leesbaar zijn voor verschillende scantechnologieën. Hoewel vision-systemen ook beschikken over of kunnen worden uitgebreid met mogelijkheden voor codeverificatie, zullen sommige converters een upgrade vereisen naar een nieuw vision-systeem of nieuwe cameratechnologie. Door al vroeg te kijken naar compatibiliteit met bestaande printapparatuur en workflows, softwareondersteuning voor verificatiestandaarden, integratieondersteuning van apparatuurleveranciers, het gebruiksgemak van het systeem en eventuele trainingsbehoeften wordt het rendement op investering gemaximaliseerd. </w:t>
      </w:r>
    </w:p>
    <w:p w14:paraId="5AAA2FC1"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b/>
          <w:bCs/>
          <w:sz w:val="22"/>
          <w:lang w:val="nl"/>
        </w:rPr>
        <w:t>Naleving van kwaliteitsnormen waarborgen</w:t>
      </w:r>
    </w:p>
    <w:p w14:paraId="4DF6DB0D"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In tegenstelling tot ongereguleerde QR-codes voor campagnes, geldt voor GS1 QR- en DataMatrix-codes een </w:t>
      </w:r>
      <w:hyperlink r:id="rId11" w:history="1">
        <w:r w:rsidRPr="00B73987">
          <w:rPr>
            <w:rFonts w:ascii="Noto Sans" w:eastAsia="Times New Roman" w:hAnsi="Noto Sans" w:cs="Noto Sans"/>
            <w:color w:val="0000EE"/>
            <w:sz w:val="22"/>
            <w:u w:val="single"/>
            <w:lang w:val="nl"/>
          </w:rPr>
          <w:t>minimale printkwaliteit van 1,5 volgens ISO/IEC 15415:2024</w:t>
        </w:r>
      </w:hyperlink>
      <w:r w:rsidRPr="00B73987">
        <w:rPr>
          <w:rFonts w:ascii="Noto Sans" w:eastAsia="Times New Roman" w:hAnsi="Noto Sans" w:cs="Noto Sans"/>
          <w:sz w:val="22"/>
          <w:lang w:val="nl"/>
        </w:rPr>
        <w:t xml:space="preserve">, de internationale standaard voor het beoordelen van de nauwkeurigheid en leesbaarheid van geprinte 2D-codes, zodat in retail aan de kassa consistent hoge leespercentages worden behaald. Converters die naleving van regelgeving aantonen via kwaliteitslogboeken, verificatierapporten en samples om audits en wettelijke vereisten te ondersteunen, bouwen vertrouwen op en bieden merken geruststelling.  </w:t>
      </w:r>
    </w:p>
    <w:p w14:paraId="123E56B2"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lastRenderedPageBreak/>
        <w:t>Converters moeten ook nauw samenwerken met merken om de parameters en contractuele verantwoordelijkheden voor hun 2D-codetoepassing te definiëren. Denk hierbij aan het verduidelijken van de verantwoordelijkheden voor codegeneratie, het toewijzen van aansprakelijkheid voor duplicaten of fouten, en het specificeren van controle- en verificatieprotocollen. Open, continue communicatie houdt converters in lijn met merkvereisten en helpt te anticiperen op uitdagingen.</w:t>
      </w:r>
    </w:p>
    <w:p w14:paraId="7C909D63"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b/>
          <w:bCs/>
          <w:sz w:val="22"/>
          <w:lang w:val="nl"/>
        </w:rPr>
        <w:t>Communicatie als sleutel tot succes</w:t>
      </w:r>
    </w:p>
    <w:p w14:paraId="52F2DE0B" w14:textId="77777777"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Naarmate merken hun 2D-codestrategieën versnellen, wordt de communicatie tussen converters en merken steeds belangrijker om contractuele verantwoordelijkheden te verduidelijken en mogelijke problemen te voorkomen. Vroegtijdig inzicht in de toepassingen en toekomstplannen van een merkklant stelt converters in staat zich voor te bereiden en in de juiste technologie te investeren. </w:t>
      </w:r>
    </w:p>
    <w:p w14:paraId="4A3D283C" w14:textId="3D33885E" w:rsidR="00B73987" w:rsidRPr="00B73987"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 xml:space="preserve">Wanneer converters nu handelen en de handen ineen slaan met een leverancier van digitaal printen die een </w:t>
      </w:r>
      <w:hyperlink r:id="rId12" w:history="1">
        <w:r w:rsidRPr="00B73987">
          <w:rPr>
            <w:rFonts w:ascii="Noto Sans" w:eastAsia="Times New Roman" w:hAnsi="Noto Sans" w:cs="Noto Sans"/>
            <w:color w:val="0563C1" w:themeColor="hyperlink"/>
            <w:sz w:val="22"/>
            <w:u w:val="single"/>
            <w:lang w:val="nl"/>
          </w:rPr>
          <w:t>expert is in het geavanceerd printen van variabele data</w:t>
        </w:r>
      </w:hyperlink>
      <w:r w:rsidRPr="00B73987">
        <w:rPr>
          <w:rFonts w:ascii="Noto Sans" w:eastAsia="Times New Roman" w:hAnsi="Noto Sans" w:cs="Noto Sans"/>
          <w:sz w:val="22"/>
          <w:lang w:val="nl"/>
        </w:rPr>
        <w:t xml:space="preserve"> en vooroploopt met de aankomende regelgeving voor verpakkingen, positioneren converters zich als de sterke partner en adviseur waarop merken zullen vertrouwen voor een geslaagde overstap naar 2D-codes.</w:t>
      </w:r>
    </w:p>
    <w:p w14:paraId="273D5047" w14:textId="77777777" w:rsidR="00B73987" w:rsidRPr="00624C9B" w:rsidRDefault="00B73987" w:rsidP="00B73987">
      <w:pPr>
        <w:spacing w:before="120" w:after="120" w:line="240" w:lineRule="auto"/>
        <w:rPr>
          <w:rFonts w:ascii="Noto Sans" w:eastAsia="Times New Roman" w:hAnsi="Noto Sans" w:cs="Noto Sans"/>
          <w:sz w:val="22"/>
          <w:lang w:val="nl-NL"/>
        </w:rPr>
      </w:pPr>
      <w:r w:rsidRPr="00B73987">
        <w:rPr>
          <w:rFonts w:ascii="Noto Sans" w:eastAsia="Times New Roman" w:hAnsi="Noto Sans" w:cs="Noto Sans"/>
          <w:sz w:val="22"/>
          <w:lang w:val="nl"/>
        </w:rPr>
        <w:t>EINDE</w:t>
      </w:r>
    </w:p>
    <w:p w14:paraId="13570072" w14:textId="77777777" w:rsidR="00B51122" w:rsidRPr="00A62E09" w:rsidRDefault="00D66051" w:rsidP="00B51122">
      <w:pPr>
        <w:spacing w:line="240" w:lineRule="auto"/>
        <w:rPr>
          <w:rFonts w:ascii="Noto Sans" w:eastAsia="Gill Sans" w:hAnsi="Noto Sans" w:cs="Noto Sans"/>
          <w:b/>
          <w:bCs/>
          <w:szCs w:val="18"/>
          <w:lang w:val="nl"/>
        </w:rPr>
      </w:pPr>
      <w:r w:rsidRPr="00CD6370">
        <w:rPr>
          <w:rFonts w:ascii="Noto Sans" w:eastAsia="Gill Sans" w:hAnsi="Noto Sans" w:cs="Noto Sans"/>
          <w:szCs w:val="18"/>
          <w:lang w:val="nl-NL"/>
        </w:rPr>
        <w:br/>
      </w:r>
      <w:r w:rsidRPr="00CD6370">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lastRenderedPageBreak/>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0"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CD6370">
        <w:rPr>
          <w:rFonts w:ascii="Noto Sans" w:eastAsia="Gill Sans" w:hAnsi="Noto Sans" w:cs="Noto Sans"/>
          <w:szCs w:val="18"/>
          <w:lang w:val="nl-NL"/>
        </w:rPr>
        <w:br/>
      </w:r>
      <w:r w:rsidR="00B51122" w:rsidRPr="00CD6370">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13"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CD6370">
        <w:rPr>
          <w:rFonts w:ascii="Noto Sans" w:eastAsia="Gill Sans" w:hAnsi="Noto Sans" w:cs="Noto Sans"/>
          <w:szCs w:val="18"/>
          <w:lang w:val="nl-NL"/>
        </w:rPr>
        <w:br/>
      </w:r>
      <w:r w:rsidR="00B51122" w:rsidRPr="00CD6370">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0"/>
    </w:p>
    <w:p w14:paraId="0BB8E3CB" w14:textId="18D40A73"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14"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CD6370" w:rsidRPr="00CD6370">
        <w:rPr>
          <w:rFonts w:ascii="Noto Sans" w:hAnsi="Noto Sans" w:cs="Noto Sans"/>
          <w:szCs w:val="18"/>
          <w:lang w:val="nl"/>
        </w:rPr>
        <w:t xml:space="preserve">Jade Taylor-Salazar </w:t>
      </w:r>
      <w:r w:rsidR="00CD6370" w:rsidRPr="00CD6370">
        <w:rPr>
          <w:rFonts w:ascii="Noto Sans" w:hAnsi="Noto Sans" w:cs="Noto Sans"/>
          <w:szCs w:val="18"/>
          <w:lang w:val="nl"/>
        </w:rPr>
        <w:br/>
        <w:t xml:space="preserve">PR and Content Manager </w:t>
      </w:r>
      <w:r w:rsidR="00CD6370" w:rsidRPr="00CD6370">
        <w:rPr>
          <w:rFonts w:ascii="Noto Sans" w:hAnsi="Noto Sans" w:cs="Noto Sans"/>
          <w:szCs w:val="18"/>
          <w:lang w:val="nl"/>
        </w:rPr>
        <w:br/>
        <w:t xml:space="preserve">Domino Printing Sciences </w:t>
      </w:r>
      <w:r w:rsidR="00CD6370" w:rsidRPr="00CD6370">
        <w:rPr>
          <w:rFonts w:ascii="Noto Sans" w:hAnsi="Noto Sans" w:cs="Noto Sans"/>
          <w:szCs w:val="18"/>
          <w:lang w:val="nl"/>
        </w:rPr>
        <w:br/>
        <w:t>Tel: +44 (0) 1954 778780</w:t>
      </w:r>
      <w:r w:rsidR="00CD6370" w:rsidRPr="00CD6370">
        <w:rPr>
          <w:rFonts w:ascii="Noto Sans" w:hAnsi="Noto Sans" w:cs="Noto Sans"/>
          <w:szCs w:val="18"/>
          <w:lang w:val="nl"/>
        </w:rPr>
        <w:br/>
      </w:r>
      <w:hyperlink r:id="rId15" w:history="1">
        <w:r w:rsidR="00CD6370" w:rsidRPr="00CD6370">
          <w:rPr>
            <w:rStyle w:val="Hyperlink"/>
            <w:rFonts w:ascii="Noto Sans" w:hAnsi="Noto Sans" w:cs="Noto Sans"/>
            <w:szCs w:val="18"/>
            <w:lang w:val="nl"/>
          </w:rPr>
          <w:t>Jade.Taylor-Salazar@domino-uk.com</w:t>
        </w:r>
      </w:hyperlink>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A520" w14:textId="77777777" w:rsidR="00B92DC9" w:rsidRDefault="00B92DC9" w:rsidP="00785717">
      <w:pPr>
        <w:spacing w:line="240" w:lineRule="auto"/>
      </w:pPr>
      <w:r>
        <w:separator/>
      </w:r>
    </w:p>
  </w:endnote>
  <w:endnote w:type="continuationSeparator" w:id="0">
    <w:p w14:paraId="2B643559" w14:textId="77777777" w:rsidR="00B92DC9" w:rsidRDefault="00B92DC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B311" w14:textId="77777777" w:rsidR="00B92DC9" w:rsidRDefault="00B92DC9" w:rsidP="00785717">
      <w:pPr>
        <w:spacing w:line="240" w:lineRule="auto"/>
      </w:pPr>
      <w:r>
        <w:separator/>
      </w:r>
    </w:p>
  </w:footnote>
  <w:footnote w:type="continuationSeparator" w:id="0">
    <w:p w14:paraId="059F6790" w14:textId="77777777" w:rsidR="00B92DC9" w:rsidRDefault="00B92DC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85A0D"/>
    <w:rsid w:val="000F6D00"/>
    <w:rsid w:val="001D743C"/>
    <w:rsid w:val="002202E3"/>
    <w:rsid w:val="00240801"/>
    <w:rsid w:val="002766D9"/>
    <w:rsid w:val="003038E5"/>
    <w:rsid w:val="00372E92"/>
    <w:rsid w:val="003A1909"/>
    <w:rsid w:val="00447C64"/>
    <w:rsid w:val="005272B1"/>
    <w:rsid w:val="005524DB"/>
    <w:rsid w:val="005741C7"/>
    <w:rsid w:val="005E6C45"/>
    <w:rsid w:val="00624C9B"/>
    <w:rsid w:val="00647055"/>
    <w:rsid w:val="00660F46"/>
    <w:rsid w:val="00785717"/>
    <w:rsid w:val="00791A4F"/>
    <w:rsid w:val="007C7A5F"/>
    <w:rsid w:val="008220B7"/>
    <w:rsid w:val="00823B77"/>
    <w:rsid w:val="008916A8"/>
    <w:rsid w:val="008B6461"/>
    <w:rsid w:val="008E5E0C"/>
    <w:rsid w:val="008F3E38"/>
    <w:rsid w:val="00931996"/>
    <w:rsid w:val="00940BF7"/>
    <w:rsid w:val="009A1716"/>
    <w:rsid w:val="009A1DEC"/>
    <w:rsid w:val="009D6280"/>
    <w:rsid w:val="00A34918"/>
    <w:rsid w:val="00AB11DA"/>
    <w:rsid w:val="00B23C3C"/>
    <w:rsid w:val="00B51122"/>
    <w:rsid w:val="00B546C5"/>
    <w:rsid w:val="00B7088D"/>
    <w:rsid w:val="00B73987"/>
    <w:rsid w:val="00B85689"/>
    <w:rsid w:val="00B900E8"/>
    <w:rsid w:val="00B92DC9"/>
    <w:rsid w:val="00BC7C15"/>
    <w:rsid w:val="00C063FE"/>
    <w:rsid w:val="00C44603"/>
    <w:rsid w:val="00C541FE"/>
    <w:rsid w:val="00CD6370"/>
    <w:rsid w:val="00CF1AD5"/>
    <w:rsid w:val="00D66051"/>
    <w:rsid w:val="00E03029"/>
    <w:rsid w:val="00E12D5F"/>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273F4C9B-1B26-41D3-9C7A-62B77CFE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nl-nl/blog/2023/bereid-u-voor-op-het-digitale-productpaspoort?utm_medium=non-paid&amp;utm_source=onlinepublication&amp;utm_content=pr-dp-2D-code-soundbite&amp;utm_campaign=2026-int-nl-Global-PR-DP-FY26-Q1" TargetMode="External"/><Relationship Id="rId13" Type="http://schemas.openxmlformats.org/officeDocument/2006/relationships/hyperlink" Target="http://www.dominobenelux.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gs1.org/industries/retail/2D-barcodes" TargetMode="External"/><Relationship Id="rId12" Type="http://schemas.openxmlformats.org/officeDocument/2006/relationships/hyperlink" Target="https://www.domino-printing.com/nl/home.aspx?utm_medium=non-paid&amp;utm_source=onlinepublication&amp;utm_content=pr-dp-2D-code-soundbite&amp;utm_campaign=2026-int-nl-Global-PR-DP-FY26-Q1"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en/blog/2024/gs1-2d-code-sunrise-digital-qr-code-printing?noredirect=true&amp;utm_medium=non-paid&amp;utm_source=onlinepublication&amp;utm_content=pr-dp-2D-code-soundbite&amp;utm_campaign=2026-int-en-Global-PR-DP-FY26-Q1" TargetMode="External"/><Relationship Id="rId11" Type="http://schemas.openxmlformats.org/officeDocument/2006/relationships/hyperlink" Target="https://ref.gs1.org/docs/2025/GS1-2D-colour-guide-i10-f-25-02-10" TargetMode="External"/><Relationship Id="rId5" Type="http://schemas.openxmlformats.org/officeDocument/2006/relationships/endnotes" Target="endnotes.xml"/><Relationship Id="rId15" Type="http://schemas.openxmlformats.org/officeDocument/2006/relationships/hyperlink" Target="mailto:Jade.Taylor-Salazar@domino-uk.com" TargetMode="External"/><Relationship Id="rId23" Type="http://schemas.openxmlformats.org/officeDocument/2006/relationships/theme" Target="theme/theme1.xml"/><Relationship Id="rId10" Type="http://schemas.openxmlformats.org/officeDocument/2006/relationships/hyperlink" Target="https://ref.gs1.org/docs/2025/GS1-2D-colour-guide-i10-f-25-02-10"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domino-printing.com/en-gb/blog/2021/the-difference-between-a-data-matrix-code-and-a-qr-code?utm_medium=non-paid&amp;utm_source=onlinepublication&amp;utm_contenthttps://www.domino-printing.com/nl-nl/blog/2021/wat-is-het-verschil-tussen-data-matrix-codes-en-qr-codes?utm_medium=non-paid&amp;utm_source=onlinepublication&amp;utm_content=pr-dp-2D-code-soundbite&amp;utm_campaign=2026-int-nl-Global-PR-DP-FY26-Q1" TargetMode="External"/><Relationship Id="rId14" Type="http://schemas.openxmlformats.org/officeDocument/2006/relationships/hyperlink" Target="mailto:Kathrin.Farr@domino-uk.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2026-05-27T08:26:00Z</dcterms:created>
  <dcterms:modified xsi:type="dcterms:W3CDTF">2026-05-28T09:38:00Z</dcterms:modified>
</cp:coreProperties>
</file>