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329D" w14:textId="77777777" w:rsidR="003C5301" w:rsidRPr="003C5301" w:rsidRDefault="003C5301" w:rsidP="003C5301">
      <w:pPr>
        <w:spacing w:before="120" w:after="120" w:line="240" w:lineRule="auto"/>
        <w:rPr>
          <w:rFonts w:ascii="Noto Sans" w:eastAsia="Times New Roman" w:hAnsi="Noto Sans" w:cs="Noto Sans"/>
          <w:sz w:val="28"/>
          <w:szCs w:val="28"/>
          <w:lang w:val="es-ES"/>
        </w:rPr>
      </w:pPr>
      <w:r w:rsidRPr="003C5301">
        <w:rPr>
          <w:rFonts w:ascii="Noto Sans" w:eastAsia="Times New Roman" w:hAnsi="Noto Sans" w:cs="Noto Sans"/>
          <w:b/>
          <w:bCs/>
          <w:sz w:val="28"/>
          <w:szCs w:val="28"/>
          <w:lang w:val="es-ES"/>
        </w:rPr>
        <w:t>De la impresión al punto de venta:</w:t>
      </w:r>
      <w:r w:rsidRPr="003C5301">
        <w:rPr>
          <w:rFonts w:ascii="Noto Sans" w:eastAsia="Times New Roman" w:hAnsi="Noto Sans" w:cs="Noto Sans"/>
          <w:sz w:val="28"/>
          <w:szCs w:val="28"/>
          <w:lang w:val="es-ES"/>
        </w:rPr>
        <w:t xml:space="preserve"> </w:t>
      </w:r>
      <w:r w:rsidRPr="003C5301">
        <w:rPr>
          <w:rFonts w:ascii="Noto Sans" w:eastAsia="Times New Roman" w:hAnsi="Noto Sans" w:cs="Noto Sans"/>
          <w:b/>
          <w:bCs/>
          <w:sz w:val="28"/>
          <w:szCs w:val="28"/>
          <w:lang w:val="es-ES"/>
        </w:rPr>
        <w:t>suministrar códigos 2D fiables y conformes con GS1 para etiquetas y envases</w:t>
      </w:r>
    </w:p>
    <w:p w14:paraId="37288568" w14:textId="77777777" w:rsidR="003C5301" w:rsidRPr="003C5301" w:rsidRDefault="003C5301" w:rsidP="003C5301">
      <w:pPr>
        <w:spacing w:before="120" w:after="120" w:line="240" w:lineRule="auto"/>
        <w:rPr>
          <w:rFonts w:ascii="Noto Sans" w:eastAsia="Times New Roman" w:hAnsi="Noto Sans" w:cs="Noto Sans"/>
          <w:sz w:val="22"/>
          <w:lang w:val="es-ES"/>
        </w:rPr>
      </w:pPr>
      <w:r w:rsidRPr="003C5301">
        <w:rPr>
          <w:rFonts w:ascii="Noto Sans" w:eastAsia="Times New Roman" w:hAnsi="Noto Sans" w:cs="Noto Sans"/>
          <w:sz w:val="22"/>
          <w:lang w:val="es-ES"/>
        </w:rPr>
        <w:t xml:space="preserve">A medida que se acelera la implementación en el comercio minorista de envases y etiquetas con </w:t>
      </w:r>
      <w:hyperlink r:id="rId6" w:history="1">
        <w:r w:rsidRPr="003C5301">
          <w:rPr>
            <w:rFonts w:ascii="Noto Sans" w:eastAsia="Times New Roman" w:hAnsi="Noto Sans" w:cs="Noto Sans"/>
            <w:color w:val="0563C1" w:themeColor="hyperlink"/>
            <w:sz w:val="22"/>
            <w:u w:val="single"/>
            <w:lang w:val="es-ES"/>
          </w:rPr>
          <w:t>códigos 2D impulsados por GS1</w:t>
        </w:r>
      </w:hyperlink>
      <w:r w:rsidRPr="003C5301">
        <w:rPr>
          <w:rFonts w:ascii="Noto Sans" w:eastAsia="Times New Roman" w:hAnsi="Noto Sans" w:cs="Noto Sans"/>
          <w:sz w:val="22"/>
          <w:lang w:val="es-ES"/>
        </w:rPr>
        <w:t xml:space="preserve">, Toby Hayhurst, </w:t>
      </w:r>
      <w:proofErr w:type="spellStart"/>
      <w:r w:rsidRPr="003C5301">
        <w:rPr>
          <w:rFonts w:ascii="Noto Sans" w:eastAsia="Times New Roman" w:hAnsi="Noto Sans" w:cs="Noto Sans"/>
          <w:sz w:val="22"/>
          <w:lang w:val="es-ES"/>
        </w:rPr>
        <w:t>Product</w:t>
      </w:r>
      <w:proofErr w:type="spellEnd"/>
      <w:r w:rsidRPr="003C5301">
        <w:rPr>
          <w:rFonts w:ascii="Noto Sans" w:eastAsia="Times New Roman" w:hAnsi="Noto Sans" w:cs="Noto Sans"/>
          <w:sz w:val="22"/>
          <w:lang w:val="es-ES"/>
        </w:rPr>
        <w:t xml:space="preserve"> Manager – Digital </w:t>
      </w:r>
      <w:proofErr w:type="spellStart"/>
      <w:r w:rsidRPr="003C5301">
        <w:rPr>
          <w:rFonts w:ascii="Noto Sans" w:eastAsia="Times New Roman" w:hAnsi="Noto Sans" w:cs="Noto Sans"/>
          <w:sz w:val="22"/>
          <w:lang w:val="es-ES"/>
        </w:rPr>
        <w:t>Monochrome</w:t>
      </w:r>
      <w:proofErr w:type="spellEnd"/>
      <w:r w:rsidRPr="003C5301">
        <w:rPr>
          <w:rFonts w:ascii="Noto Sans" w:eastAsia="Times New Roman" w:hAnsi="Noto Sans" w:cs="Noto Sans"/>
          <w:sz w:val="22"/>
          <w:lang w:val="es-ES"/>
        </w:rPr>
        <w:t xml:space="preserve">, Domino Printing </w:t>
      </w:r>
      <w:proofErr w:type="spellStart"/>
      <w:r w:rsidRPr="003C5301">
        <w:rPr>
          <w:rFonts w:ascii="Noto Sans" w:eastAsia="Times New Roman" w:hAnsi="Noto Sans" w:cs="Noto Sans"/>
          <w:sz w:val="22"/>
          <w:lang w:val="es-ES"/>
        </w:rPr>
        <w:t>Sciences</w:t>
      </w:r>
      <w:proofErr w:type="spellEnd"/>
      <w:r w:rsidRPr="003C5301">
        <w:rPr>
          <w:rFonts w:ascii="Noto Sans" w:eastAsia="Times New Roman" w:hAnsi="Noto Sans" w:cs="Noto Sans"/>
          <w:sz w:val="22"/>
          <w:lang w:val="es-ES"/>
        </w:rPr>
        <w:t>, explica cómo los convertidores pueden prepararse para satisfacer la creciente demanda de envases con códigos 2D verificados y conformes.</w:t>
      </w:r>
    </w:p>
    <w:p w14:paraId="2892AE7D" w14:textId="77777777" w:rsidR="003C5301" w:rsidRPr="003C5301" w:rsidRDefault="003C5301" w:rsidP="003C5301">
      <w:pPr>
        <w:spacing w:before="120" w:after="120" w:line="240" w:lineRule="auto"/>
        <w:rPr>
          <w:rFonts w:ascii="Noto Sans" w:eastAsia="Times New Roman" w:hAnsi="Noto Sans" w:cs="Noto Sans"/>
          <w:sz w:val="22"/>
          <w:lang w:val="es-ES"/>
        </w:rPr>
      </w:pPr>
      <w:r w:rsidRPr="003C5301">
        <w:rPr>
          <w:rFonts w:ascii="Noto Sans" w:eastAsia="Times New Roman" w:hAnsi="Noto Sans" w:cs="Noto Sans"/>
          <w:b/>
          <w:bCs/>
          <w:sz w:val="22"/>
          <w:lang w:val="es-ES"/>
        </w:rPr>
        <w:t>Elegir el equipo de impresión adecuado</w:t>
      </w:r>
    </w:p>
    <w:p w14:paraId="1E3CC4BC" w14:textId="77777777" w:rsidR="003C5301" w:rsidRPr="003C5301" w:rsidRDefault="003C5301" w:rsidP="003C5301">
      <w:pPr>
        <w:spacing w:before="120" w:after="120" w:line="240" w:lineRule="auto"/>
        <w:rPr>
          <w:rFonts w:ascii="Noto Sans" w:eastAsia="Times New Roman" w:hAnsi="Noto Sans" w:cs="Noto Sans"/>
          <w:sz w:val="22"/>
          <w:lang w:val="es-ES"/>
        </w:rPr>
      </w:pPr>
      <w:r w:rsidRPr="003C5301">
        <w:rPr>
          <w:rFonts w:ascii="Noto Sans" w:eastAsia="Times New Roman" w:hAnsi="Noto Sans" w:cs="Noto Sans"/>
          <w:sz w:val="22"/>
          <w:lang w:val="es-ES"/>
        </w:rPr>
        <w:t xml:space="preserve">Los códigos 2D impulsados por GS1 son portadores de datos multifuncionales de información del fabricante, precios y consumidores, y hay mucho en juego a la hora de imprimirlos correctamente. Los códigos que fallan al escanearlos pueden dañar la confianza de los minoristas y consumidores, con la consiguiente repercusión negativa en el proveedor de envases. Por eso, la selección de equipos de impresión y verificación adecuados, así como de flujos de trabajo, es esencial para los convertidores. </w:t>
      </w:r>
    </w:p>
    <w:p w14:paraId="1C54132D" w14:textId="77777777" w:rsidR="003C5301" w:rsidRPr="003C5301" w:rsidRDefault="003C5301" w:rsidP="003C5301">
      <w:pPr>
        <w:spacing w:before="120" w:after="120" w:line="240" w:lineRule="auto"/>
        <w:rPr>
          <w:rFonts w:ascii="Noto Sans" w:eastAsia="Times New Roman" w:hAnsi="Noto Sans" w:cs="Noto Sans"/>
          <w:sz w:val="22"/>
          <w:lang w:val="es-ES"/>
        </w:rPr>
      </w:pPr>
      <w:r w:rsidRPr="003C5301">
        <w:rPr>
          <w:rFonts w:ascii="Noto Sans" w:eastAsia="Times New Roman" w:hAnsi="Noto Sans" w:cs="Noto Sans"/>
          <w:sz w:val="22"/>
          <w:lang w:val="es-ES"/>
        </w:rPr>
        <w:t xml:space="preserve">Una consideración clave será la elección por parte de la marca entre códigos QR estáticos o variables, así como los volúmenes requeridos. Los códigos estáticos básicamente </w:t>
      </w:r>
      <w:hyperlink r:id="rId7" w:history="1">
        <w:r w:rsidRPr="003C5301">
          <w:rPr>
            <w:rFonts w:ascii="Noto Sans" w:eastAsia="Times New Roman" w:hAnsi="Noto Sans" w:cs="Noto Sans"/>
            <w:color w:val="0563C1" w:themeColor="hyperlink"/>
            <w:sz w:val="22"/>
            <w:u w:val="single"/>
            <w:lang w:val="es-ES"/>
          </w:rPr>
          <w:t>sustituyen un código de barras GS1 EAN-13</w:t>
        </w:r>
      </w:hyperlink>
      <w:r w:rsidRPr="003C5301">
        <w:rPr>
          <w:rFonts w:ascii="Noto Sans" w:eastAsia="Times New Roman" w:hAnsi="Noto Sans" w:cs="Noto Sans"/>
          <w:sz w:val="22"/>
          <w:lang w:val="es-ES"/>
        </w:rPr>
        <w:t xml:space="preserve"> en el punto de venta, lo que incluye el GTIN (Global </w:t>
      </w:r>
      <w:proofErr w:type="spellStart"/>
      <w:r w:rsidRPr="003C5301">
        <w:rPr>
          <w:rFonts w:ascii="Noto Sans" w:eastAsia="Times New Roman" w:hAnsi="Noto Sans" w:cs="Noto Sans"/>
          <w:sz w:val="22"/>
          <w:lang w:val="es-ES"/>
        </w:rPr>
        <w:t>Trade</w:t>
      </w:r>
      <w:proofErr w:type="spellEnd"/>
      <w:r w:rsidRPr="003C5301">
        <w:rPr>
          <w:rFonts w:ascii="Noto Sans" w:eastAsia="Times New Roman" w:hAnsi="Noto Sans" w:cs="Noto Sans"/>
          <w:sz w:val="22"/>
          <w:lang w:val="es-ES"/>
        </w:rPr>
        <w:t xml:space="preserve"> </w:t>
      </w:r>
      <w:proofErr w:type="spellStart"/>
      <w:r w:rsidRPr="003C5301">
        <w:rPr>
          <w:rFonts w:ascii="Noto Sans" w:eastAsia="Times New Roman" w:hAnsi="Noto Sans" w:cs="Noto Sans"/>
          <w:sz w:val="22"/>
          <w:lang w:val="es-ES"/>
        </w:rPr>
        <w:t>Item</w:t>
      </w:r>
      <w:proofErr w:type="spellEnd"/>
      <w:r w:rsidRPr="003C5301">
        <w:rPr>
          <w:rFonts w:ascii="Noto Sans" w:eastAsia="Times New Roman" w:hAnsi="Noto Sans" w:cs="Noto Sans"/>
          <w:sz w:val="22"/>
          <w:lang w:val="es-ES"/>
        </w:rPr>
        <w:t xml:space="preserve"> Number) del producto y una URL fija opcional para que la escanee el consumidor. Estos códigos están estandarizados, los proporciona la marca como parte del material gráfico y se pueden imprimir en grandes volúmenes utilizando procesos analógicos o digitales, siempre que se cumplan las normas de calidad y la resolución requeridas.</w:t>
      </w:r>
    </w:p>
    <w:p w14:paraId="607065A2" w14:textId="77777777" w:rsidR="003C5301" w:rsidRPr="003C5301" w:rsidRDefault="003C5301" w:rsidP="003C5301">
      <w:pPr>
        <w:spacing w:before="120" w:after="120" w:line="240" w:lineRule="auto"/>
        <w:rPr>
          <w:rFonts w:ascii="Noto Sans" w:eastAsia="Times New Roman" w:hAnsi="Noto Sans" w:cs="Noto Sans"/>
          <w:sz w:val="22"/>
          <w:lang w:val="es-ES"/>
        </w:rPr>
      </w:pPr>
      <w:r w:rsidRPr="003C5301">
        <w:rPr>
          <w:rFonts w:ascii="Noto Sans" w:eastAsia="Times New Roman" w:hAnsi="Noto Sans" w:cs="Noto Sans"/>
          <w:sz w:val="22"/>
          <w:lang w:val="es-ES"/>
        </w:rPr>
        <w:t>Los códigos 2D variables y serializados que incorporan información específica del artículo a nivel de lote o identificadores únicos (p. ej., para la lucha contra la falsificación), desbloquean un mayor valor para las marcas, pero son más complejos de producir. La producción a gran escala exige un flujo de trabajo de impresión digital con capacidad para datos variables. Las opciones incluyen una impresora digital de etiquetas o una impresora de cartón ondulado que imprima tanto el material gráfico como los códigos variables, una impresora de inyección monocromática con sobreimpresión de códigos como parte de una línea híbrida o la personalización en las últimas fases fuera de línea de etiquetas y envases preimpresos. </w:t>
      </w:r>
    </w:p>
    <w:p w14:paraId="52F7F235" w14:textId="77777777" w:rsidR="003C5301" w:rsidRPr="003C5301" w:rsidRDefault="003C5301" w:rsidP="003C5301">
      <w:pPr>
        <w:spacing w:before="120" w:after="120" w:line="240" w:lineRule="auto"/>
        <w:rPr>
          <w:rFonts w:ascii="Noto Sans" w:eastAsia="Times New Roman" w:hAnsi="Noto Sans" w:cs="Noto Sans"/>
          <w:sz w:val="22"/>
          <w:lang w:val="es-ES"/>
        </w:rPr>
      </w:pPr>
      <w:r w:rsidRPr="003C5301">
        <w:rPr>
          <w:rFonts w:ascii="Noto Sans" w:eastAsia="Times New Roman" w:hAnsi="Noto Sans" w:cs="Noto Sans"/>
          <w:sz w:val="22"/>
          <w:lang w:val="es-ES"/>
        </w:rPr>
        <w:t xml:space="preserve">Las marcas también tendrán diferentes enfoques para generar códigos 2D variables. Es posible que los convertidores deban obtener licencias de una o más API de terceros para vincular los códigos a una base de datos que admita </w:t>
      </w:r>
      <w:hyperlink r:id="rId8" w:history="1">
        <w:r w:rsidRPr="003C5301">
          <w:rPr>
            <w:rFonts w:ascii="Noto Sans" w:eastAsia="Times New Roman" w:hAnsi="Noto Sans" w:cs="Noto Sans"/>
            <w:color w:val="0563C1" w:themeColor="hyperlink"/>
            <w:sz w:val="22"/>
            <w:u w:val="single"/>
            <w:lang w:val="es-ES"/>
          </w:rPr>
          <w:t>pasaportes digitales de productos</w:t>
        </w:r>
      </w:hyperlink>
      <w:r w:rsidRPr="003C5301">
        <w:rPr>
          <w:rFonts w:ascii="Noto Sans" w:eastAsia="Times New Roman" w:hAnsi="Noto Sans" w:cs="Noto Sans"/>
          <w:sz w:val="22"/>
          <w:lang w:val="es-ES"/>
        </w:rPr>
        <w:t xml:space="preserve"> con la información requerida del consumidor, el comercio minorista y la cadena de suministro. Será necesaria una estrecha colaboración con los proveedores de API y el proveedor del flujo de trabajo de la impresora para configurar conexiones </w:t>
      </w:r>
      <w:r w:rsidRPr="003C5301">
        <w:rPr>
          <w:rFonts w:ascii="Noto Sans" w:eastAsia="Times New Roman" w:hAnsi="Noto Sans" w:cs="Noto Sans"/>
          <w:sz w:val="22"/>
          <w:lang w:val="es-ES"/>
        </w:rPr>
        <w:lastRenderedPageBreak/>
        <w:t xml:space="preserve">seguras y protocolos de transferencia de datos, lo que permite la asignación automática de códigos únicos. </w:t>
      </w:r>
    </w:p>
    <w:p w14:paraId="0D13CCD9" w14:textId="77777777" w:rsidR="003C5301" w:rsidRPr="003C5301" w:rsidRDefault="003C5301" w:rsidP="003C5301">
      <w:pPr>
        <w:spacing w:before="120" w:after="240" w:line="240" w:lineRule="auto"/>
        <w:rPr>
          <w:rFonts w:ascii="Noto Sans" w:eastAsia="Times New Roman" w:hAnsi="Noto Sans" w:cs="Noto Sans"/>
          <w:sz w:val="22"/>
          <w:lang w:val="es-ES"/>
        </w:rPr>
      </w:pPr>
      <w:r w:rsidRPr="003C5301">
        <w:rPr>
          <w:rFonts w:ascii="Noto Sans" w:eastAsia="Times New Roman" w:hAnsi="Noto Sans" w:cs="Noto Sans"/>
          <w:sz w:val="22"/>
          <w:lang w:val="es-ES"/>
        </w:rPr>
        <w:t>La serialización también puede requerir la alineación de datos justo a tiempo entre la fabricación de cada cliente y la producción de etiquetas para evitar residuos o retiradas de productos, así como el establecimiento de procesos para gestionar los rechazos.</w:t>
      </w:r>
    </w:p>
    <w:p w14:paraId="4BA66265" w14:textId="77777777" w:rsidR="003C5301" w:rsidRPr="003C5301" w:rsidRDefault="003C5301" w:rsidP="003C5301">
      <w:pPr>
        <w:spacing w:before="120" w:after="120" w:line="240" w:lineRule="auto"/>
        <w:rPr>
          <w:rFonts w:ascii="Noto Sans" w:eastAsia="Times New Roman" w:hAnsi="Noto Sans" w:cs="Noto Sans"/>
          <w:sz w:val="22"/>
          <w:lang w:val="es-ES"/>
        </w:rPr>
      </w:pPr>
      <w:r w:rsidRPr="003C5301">
        <w:rPr>
          <w:rFonts w:ascii="Noto Sans" w:eastAsia="Times New Roman" w:hAnsi="Noto Sans" w:cs="Noto Sans"/>
          <w:b/>
          <w:bCs/>
          <w:sz w:val="22"/>
          <w:lang w:val="es-ES"/>
        </w:rPr>
        <w:t xml:space="preserve">Garantizar la calidad de escaneo del código QR </w:t>
      </w:r>
    </w:p>
    <w:p w14:paraId="4919940F" w14:textId="77777777" w:rsidR="003C5301" w:rsidRPr="003C5301" w:rsidRDefault="003C5301" w:rsidP="003C5301">
      <w:pPr>
        <w:spacing w:before="120" w:after="120" w:line="240" w:lineRule="auto"/>
        <w:rPr>
          <w:rFonts w:ascii="Noto Sans" w:eastAsia="Times New Roman" w:hAnsi="Noto Sans" w:cs="Noto Sans"/>
          <w:sz w:val="22"/>
          <w:lang w:val="es-ES"/>
        </w:rPr>
      </w:pPr>
      <w:r w:rsidRPr="003C5301">
        <w:rPr>
          <w:rFonts w:ascii="Noto Sans" w:eastAsia="Times New Roman" w:hAnsi="Noto Sans" w:cs="Noto Sans"/>
          <w:sz w:val="22"/>
          <w:lang w:val="es-ES"/>
        </w:rPr>
        <w:t xml:space="preserve">La calidad de impresión, la claridad y el contraste son clave para lograr un escaneo constante en el mundo real del </w:t>
      </w:r>
      <w:hyperlink r:id="rId9" w:history="1">
        <w:r w:rsidRPr="003C5301">
          <w:rPr>
            <w:rFonts w:ascii="Noto Sans" w:eastAsia="Times New Roman" w:hAnsi="Noto Sans" w:cs="Noto Sans"/>
            <w:color w:val="0000EE"/>
            <w:sz w:val="22"/>
            <w:u w:val="single"/>
            <w:lang w:val="es-ES"/>
          </w:rPr>
          <w:t xml:space="preserve">código QR GS1 o </w:t>
        </w:r>
        <w:proofErr w:type="spellStart"/>
        <w:r w:rsidRPr="003C5301">
          <w:rPr>
            <w:rFonts w:ascii="Noto Sans" w:eastAsia="Times New Roman" w:hAnsi="Noto Sans" w:cs="Noto Sans"/>
            <w:color w:val="0000EE"/>
            <w:sz w:val="22"/>
            <w:u w:val="single"/>
            <w:lang w:val="es-ES"/>
          </w:rPr>
          <w:t>DataMatrix</w:t>
        </w:r>
        <w:proofErr w:type="spellEnd"/>
      </w:hyperlink>
      <w:r w:rsidRPr="003C5301">
        <w:rPr>
          <w:rFonts w:ascii="Noto Sans" w:eastAsia="Times New Roman" w:hAnsi="Noto Sans" w:cs="Noto Sans"/>
          <w:sz w:val="22"/>
          <w:lang w:val="es-ES"/>
        </w:rPr>
        <w:t xml:space="preserve">. </w:t>
      </w:r>
      <w:proofErr w:type="gramStart"/>
      <w:r w:rsidRPr="003C5301">
        <w:rPr>
          <w:rFonts w:ascii="Noto Sans" w:eastAsia="Times New Roman" w:hAnsi="Noto Sans" w:cs="Noto Sans"/>
          <w:sz w:val="22"/>
          <w:lang w:val="es-ES"/>
        </w:rPr>
        <w:t>Los posibles problemas a considerar</w:t>
      </w:r>
      <w:proofErr w:type="gramEnd"/>
      <w:r w:rsidRPr="003C5301">
        <w:rPr>
          <w:rFonts w:ascii="Noto Sans" w:eastAsia="Times New Roman" w:hAnsi="Noto Sans" w:cs="Noto Sans"/>
          <w:sz w:val="22"/>
          <w:lang w:val="es-ES"/>
        </w:rPr>
        <w:t xml:space="preserve"> incluyen la distorsión por ganancia de punto y la dispersión de la tinta en el sustrato en los procesos flexográficos y digitales </w:t>
      </w:r>
      <w:proofErr w:type="spellStart"/>
      <w:r w:rsidRPr="003C5301">
        <w:rPr>
          <w:rFonts w:ascii="Noto Sans" w:eastAsia="Times New Roman" w:hAnsi="Noto Sans" w:cs="Noto Sans"/>
          <w:sz w:val="22"/>
          <w:lang w:val="es-ES"/>
        </w:rPr>
        <w:t>inkjet</w:t>
      </w:r>
      <w:proofErr w:type="spellEnd"/>
      <w:r w:rsidRPr="003C5301">
        <w:rPr>
          <w:rFonts w:ascii="Noto Sans" w:eastAsia="Times New Roman" w:hAnsi="Noto Sans" w:cs="Noto Sans"/>
          <w:sz w:val="22"/>
          <w:lang w:val="es-ES"/>
        </w:rPr>
        <w:t>, así como una mala adhesión, secado y curado de la tinta, lo que puede reducir la durabilidad del código.</w:t>
      </w:r>
    </w:p>
    <w:p w14:paraId="7551D558" w14:textId="77777777" w:rsidR="003C5301" w:rsidRPr="003C5301" w:rsidRDefault="003C5301" w:rsidP="003C5301">
      <w:pPr>
        <w:spacing w:before="120" w:after="240" w:line="240" w:lineRule="auto"/>
        <w:rPr>
          <w:rFonts w:ascii="Noto Sans" w:eastAsia="Times New Roman" w:hAnsi="Noto Sans" w:cs="Noto Sans"/>
          <w:sz w:val="22"/>
          <w:lang w:val="es-ES"/>
        </w:rPr>
      </w:pPr>
      <w:r w:rsidRPr="003C5301">
        <w:rPr>
          <w:rFonts w:ascii="Noto Sans" w:eastAsia="Times New Roman" w:hAnsi="Noto Sans" w:cs="Noto Sans"/>
          <w:sz w:val="22"/>
          <w:lang w:val="es-ES"/>
        </w:rPr>
        <w:t xml:space="preserve">El color y el acabado del sustrato también pueden afectar a la legibilidad del código 2D. </w:t>
      </w:r>
      <w:hyperlink r:id="rId10" w:history="1">
        <w:r w:rsidRPr="003C5301">
          <w:rPr>
            <w:rFonts w:ascii="Noto Sans" w:eastAsia="Times New Roman" w:hAnsi="Noto Sans" w:cs="Noto Sans"/>
            <w:color w:val="0000EE"/>
            <w:sz w:val="22"/>
            <w:u w:val="single"/>
            <w:lang w:val="es-ES"/>
          </w:rPr>
          <w:t>Los sustratos brillantes o reflectantes</w:t>
        </w:r>
      </w:hyperlink>
      <w:r w:rsidRPr="003C5301">
        <w:rPr>
          <w:rFonts w:ascii="Noto Sans" w:eastAsia="Times New Roman" w:hAnsi="Noto Sans" w:cs="Noto Sans"/>
          <w:sz w:val="22"/>
          <w:lang w:val="es-ES"/>
        </w:rPr>
        <w:t xml:space="preserve"> pueden causar reflejos, mientras que los fondos de color pueden reducir el contraste e impedir una lectura adecuada del código.</w:t>
      </w:r>
    </w:p>
    <w:p w14:paraId="5F727F43" w14:textId="77777777" w:rsidR="003C5301" w:rsidRPr="003C5301" w:rsidRDefault="003C5301" w:rsidP="003C5301">
      <w:pPr>
        <w:spacing w:before="120" w:after="120" w:line="240" w:lineRule="auto"/>
        <w:rPr>
          <w:rFonts w:ascii="Noto Sans" w:eastAsia="Times New Roman" w:hAnsi="Noto Sans" w:cs="Noto Sans"/>
          <w:sz w:val="22"/>
          <w:lang w:val="es-ES"/>
        </w:rPr>
      </w:pPr>
      <w:r w:rsidRPr="003C5301">
        <w:rPr>
          <w:rFonts w:ascii="Noto Sans" w:eastAsia="Times New Roman" w:hAnsi="Noto Sans" w:cs="Noto Sans"/>
          <w:sz w:val="22"/>
          <w:lang w:val="es-ES"/>
        </w:rPr>
        <w:t xml:space="preserve">Para evitar problemas en el punto de venta, los convertidores deben verificar los códigos QR durante el proceso de impresión para resaltar los posibles problemas de legibilidad. Los sistemas de visión existentes pueden supervisar la calidad de impresión, pero lograr la coherencia del escaneo independientemente de la iluminación, la distancia de captura y la velocidad de los entornos de escaneo del punto de venta, de la cadena de suministro y del consumidor exige una tecnología más sofisticada. </w:t>
      </w:r>
    </w:p>
    <w:p w14:paraId="46891591" w14:textId="77777777" w:rsidR="003C5301" w:rsidRPr="003C5301" w:rsidRDefault="003C5301" w:rsidP="003C5301">
      <w:pPr>
        <w:spacing w:before="120" w:after="120" w:line="240" w:lineRule="auto"/>
        <w:rPr>
          <w:rFonts w:ascii="Noto Sans" w:eastAsia="Times New Roman" w:hAnsi="Noto Sans" w:cs="Noto Sans"/>
          <w:sz w:val="22"/>
          <w:lang w:val="es-ES"/>
        </w:rPr>
      </w:pPr>
      <w:r w:rsidRPr="003C5301">
        <w:rPr>
          <w:rFonts w:ascii="Noto Sans" w:eastAsia="Times New Roman" w:hAnsi="Noto Sans" w:cs="Noto Sans"/>
          <w:sz w:val="22"/>
          <w:lang w:val="es-ES"/>
        </w:rPr>
        <w:t xml:space="preserve">Al clasificar la calidad del código, los verificadores identifican los códigos de calidad inferior y garantizan que los códigos se puedan leer de manera fiable con todas las tecnologías de escaneo. Aunque los sistemas de visión también tienen o se pueden actualizar con capacidades de verificación de códigos, algunos convertidores tendrán que actualizarse a un nuevo sistema de visión o tecnología de cámaras. Considerar con anticipación la compatibilidad con los equipos de impresión y los flujos de trabajo existentes, el soporte de software para los estándares de verificación, el soporte de integración de los proveedores de equipos, así como la facilidad de uso del sistema y cualquier posible necesidad de formación maximizará la rentabilidad. </w:t>
      </w:r>
    </w:p>
    <w:p w14:paraId="140D288E" w14:textId="77777777" w:rsidR="003C5301" w:rsidRPr="003C5301" w:rsidRDefault="003C5301" w:rsidP="003C5301">
      <w:pPr>
        <w:spacing w:before="120" w:after="120" w:line="240" w:lineRule="auto"/>
        <w:rPr>
          <w:rFonts w:ascii="Noto Sans" w:eastAsia="Times New Roman" w:hAnsi="Noto Sans" w:cs="Noto Sans"/>
          <w:sz w:val="22"/>
          <w:lang w:val="es-ES"/>
        </w:rPr>
      </w:pPr>
      <w:r w:rsidRPr="003C5301">
        <w:rPr>
          <w:rFonts w:ascii="Noto Sans" w:eastAsia="Times New Roman" w:hAnsi="Noto Sans" w:cs="Noto Sans"/>
          <w:b/>
          <w:bCs/>
          <w:sz w:val="22"/>
          <w:lang w:val="es-ES"/>
        </w:rPr>
        <w:t>Garantizar el cumplimiento de las normas de calidad</w:t>
      </w:r>
    </w:p>
    <w:p w14:paraId="57D990FF" w14:textId="77777777" w:rsidR="003C5301" w:rsidRPr="003C5301" w:rsidRDefault="003C5301" w:rsidP="003C5301">
      <w:pPr>
        <w:spacing w:before="120" w:after="120" w:line="240" w:lineRule="auto"/>
        <w:rPr>
          <w:rFonts w:ascii="Noto Sans" w:eastAsia="Times New Roman" w:hAnsi="Noto Sans" w:cs="Noto Sans"/>
          <w:sz w:val="22"/>
          <w:lang w:val="es-ES"/>
        </w:rPr>
      </w:pPr>
      <w:r w:rsidRPr="003C5301">
        <w:rPr>
          <w:rFonts w:ascii="Noto Sans" w:eastAsia="Times New Roman" w:hAnsi="Noto Sans" w:cs="Noto Sans"/>
          <w:sz w:val="22"/>
          <w:lang w:val="es-ES"/>
        </w:rPr>
        <w:t xml:space="preserve">A diferencia de los códigos QR de campañas no reguladas, se espera que los códigos QR y </w:t>
      </w:r>
      <w:proofErr w:type="spellStart"/>
      <w:r w:rsidRPr="003C5301">
        <w:rPr>
          <w:rFonts w:ascii="Noto Sans" w:eastAsia="Times New Roman" w:hAnsi="Noto Sans" w:cs="Noto Sans"/>
          <w:sz w:val="22"/>
          <w:lang w:val="es-ES"/>
        </w:rPr>
        <w:t>DataMatrix</w:t>
      </w:r>
      <w:proofErr w:type="spellEnd"/>
      <w:r w:rsidRPr="003C5301">
        <w:rPr>
          <w:rFonts w:ascii="Noto Sans" w:eastAsia="Times New Roman" w:hAnsi="Noto Sans" w:cs="Noto Sans"/>
          <w:sz w:val="22"/>
          <w:lang w:val="es-ES"/>
        </w:rPr>
        <w:t xml:space="preserve"> de GS1 alcancen una </w:t>
      </w:r>
      <w:hyperlink r:id="rId11" w:history="1">
        <w:r w:rsidRPr="003C5301">
          <w:rPr>
            <w:rFonts w:ascii="Noto Sans" w:eastAsia="Times New Roman" w:hAnsi="Noto Sans" w:cs="Noto Sans"/>
            <w:color w:val="0000EE"/>
            <w:sz w:val="22"/>
            <w:u w:val="single"/>
            <w:lang w:val="es-ES"/>
          </w:rPr>
          <w:t>clasificación de impresión mínima de 1.5 según la norma ISO/IEC 15415:2024</w:t>
        </w:r>
      </w:hyperlink>
      <w:r w:rsidRPr="003C5301">
        <w:rPr>
          <w:rFonts w:ascii="Noto Sans" w:eastAsia="Times New Roman" w:hAnsi="Noto Sans" w:cs="Noto Sans"/>
          <w:sz w:val="22"/>
          <w:lang w:val="es-ES"/>
        </w:rPr>
        <w:t xml:space="preserve">, el estándar internacional para evaluar la precisión y legibilidad de los códigos 2D impresos, a fin de mantener altas tasas de lectura en las cajas de las tiendas. Al demostrar el cumplimiento mediante registros de calidad, informes de verificación y muestras para respaldar las auditorías y los requisitos </w:t>
      </w:r>
      <w:r w:rsidRPr="003C5301">
        <w:rPr>
          <w:rFonts w:ascii="Noto Sans" w:eastAsia="Times New Roman" w:hAnsi="Noto Sans" w:cs="Noto Sans"/>
          <w:sz w:val="22"/>
          <w:lang w:val="es-ES"/>
        </w:rPr>
        <w:lastRenderedPageBreak/>
        <w:t xml:space="preserve">normativos, los convertidores pueden generar confianza y dar tranquilidad a las marcas.  </w:t>
      </w:r>
    </w:p>
    <w:p w14:paraId="509C766E" w14:textId="77777777" w:rsidR="003C5301" w:rsidRPr="003C5301" w:rsidRDefault="003C5301" w:rsidP="003C5301">
      <w:pPr>
        <w:spacing w:before="120" w:after="120" w:line="240" w:lineRule="auto"/>
        <w:rPr>
          <w:rFonts w:ascii="Noto Sans" w:eastAsia="Times New Roman" w:hAnsi="Noto Sans" w:cs="Noto Sans"/>
          <w:sz w:val="22"/>
          <w:lang w:val="es-ES"/>
        </w:rPr>
      </w:pPr>
      <w:r w:rsidRPr="003C5301">
        <w:rPr>
          <w:rFonts w:ascii="Noto Sans" w:eastAsia="Times New Roman" w:hAnsi="Noto Sans" w:cs="Noto Sans"/>
          <w:sz w:val="22"/>
          <w:lang w:val="es-ES"/>
        </w:rPr>
        <w:t>Los convertidores también deben colaborar estrechamente con las marcas para definir los parámetros y las responsabilidades contractuales de su aplicación de códigos 2D. Esto podría incluir la aclaración de las responsabilidades de generación de códigos, la asignación de responsabilidad por duplicados o fallos, y la especificación de protocolos de auditoría y verificación. Una comunicación abierta y continua permite alinear a los convertidores con los requisitos de la marca y ayuda a anticipar posibles retos.</w:t>
      </w:r>
    </w:p>
    <w:p w14:paraId="1D78341A" w14:textId="77777777" w:rsidR="003C5301" w:rsidRPr="003C5301" w:rsidRDefault="003C5301" w:rsidP="003C5301">
      <w:pPr>
        <w:spacing w:before="120" w:after="120" w:line="240" w:lineRule="auto"/>
        <w:rPr>
          <w:rFonts w:ascii="Noto Sans" w:eastAsia="Times New Roman" w:hAnsi="Noto Sans" w:cs="Noto Sans"/>
          <w:sz w:val="22"/>
          <w:lang w:val="es-ES"/>
        </w:rPr>
      </w:pPr>
      <w:r w:rsidRPr="003C5301">
        <w:rPr>
          <w:rFonts w:ascii="Noto Sans" w:eastAsia="Times New Roman" w:hAnsi="Noto Sans" w:cs="Noto Sans"/>
          <w:b/>
          <w:bCs/>
          <w:sz w:val="22"/>
          <w:lang w:val="es-ES"/>
        </w:rPr>
        <w:t>La comunicación como clave del éxito</w:t>
      </w:r>
    </w:p>
    <w:p w14:paraId="277390A1" w14:textId="77777777" w:rsidR="003C5301" w:rsidRPr="003C5301" w:rsidRDefault="003C5301" w:rsidP="003C5301">
      <w:pPr>
        <w:spacing w:before="120" w:after="120" w:line="240" w:lineRule="auto"/>
        <w:rPr>
          <w:rFonts w:ascii="Noto Sans" w:eastAsia="Times New Roman" w:hAnsi="Noto Sans" w:cs="Noto Sans"/>
          <w:sz w:val="22"/>
          <w:lang w:val="es-ES"/>
        </w:rPr>
      </w:pPr>
      <w:r w:rsidRPr="003C5301">
        <w:rPr>
          <w:rFonts w:ascii="Noto Sans" w:eastAsia="Times New Roman" w:hAnsi="Noto Sans" w:cs="Noto Sans"/>
          <w:sz w:val="22"/>
          <w:lang w:val="es-ES"/>
        </w:rPr>
        <w:t xml:space="preserve">A medida que las marcas aceleran sus estrategias de códigos 2D, la comunicación entre los convertidores y las marcas desempeñará un papel importante a la hora de aclarar las responsabilidades contractuales y anticiparse a posibles problemas. Entender desde el principio las aplicaciones y los planes futuros del cliente de una marca ayudará a los convertidores a prepararse e invertir en la tecnología requerida. </w:t>
      </w:r>
    </w:p>
    <w:p w14:paraId="17803965" w14:textId="77777777" w:rsidR="003C5301" w:rsidRPr="003C5301" w:rsidRDefault="003C5301" w:rsidP="003C5301">
      <w:pPr>
        <w:spacing w:before="120" w:after="120" w:line="240" w:lineRule="auto"/>
        <w:rPr>
          <w:rFonts w:ascii="Noto Sans" w:eastAsia="Times New Roman" w:hAnsi="Noto Sans" w:cs="Noto Sans"/>
          <w:sz w:val="22"/>
          <w:lang w:val="es-ES"/>
        </w:rPr>
      </w:pPr>
      <w:r w:rsidRPr="003C5301">
        <w:rPr>
          <w:rFonts w:ascii="Noto Sans" w:eastAsia="Times New Roman" w:hAnsi="Noto Sans" w:cs="Noto Sans"/>
          <w:sz w:val="22"/>
          <w:lang w:val="es-ES"/>
        </w:rPr>
        <w:t xml:space="preserve">Actuar ahora y asociarse con un proveedor de impresión digital que sea </w:t>
      </w:r>
      <w:hyperlink r:id="rId12" w:history="1">
        <w:r w:rsidRPr="003C5301">
          <w:rPr>
            <w:rFonts w:ascii="Noto Sans" w:eastAsia="Times New Roman" w:hAnsi="Noto Sans" w:cs="Noto Sans"/>
            <w:color w:val="0563C1" w:themeColor="hyperlink"/>
            <w:sz w:val="22"/>
            <w:u w:val="single"/>
            <w:lang w:val="es-ES"/>
          </w:rPr>
          <w:t>experto en impresión de datos variables avanzada</w:t>
        </w:r>
      </w:hyperlink>
      <w:r w:rsidRPr="003C5301">
        <w:rPr>
          <w:rFonts w:ascii="Noto Sans" w:eastAsia="Times New Roman" w:hAnsi="Noto Sans" w:cs="Noto Sans"/>
          <w:sz w:val="22"/>
          <w:lang w:val="es-ES"/>
        </w:rPr>
        <w:t xml:space="preserve"> y que esté a la vanguardia de las normativas emergentes sobre envases, posicionará a los convertidores como el socio y el asesor sólido en el que las marcas confiarán para realizar la transición con éxito a los códigos 2D.</w:t>
      </w:r>
    </w:p>
    <w:p w14:paraId="3157FEC6" w14:textId="2D26A76B" w:rsidR="0075177C" w:rsidRDefault="003C5301" w:rsidP="003C5301">
      <w:pPr>
        <w:spacing w:line="240" w:lineRule="auto"/>
        <w:rPr>
          <w:rFonts w:ascii="Noto Sans" w:eastAsia="Gill Sans" w:hAnsi="Noto Sans" w:cs="Noto Sans"/>
          <w:szCs w:val="18"/>
          <w:lang w:val="es-ES"/>
        </w:rPr>
      </w:pPr>
      <w:r w:rsidRPr="003C5301">
        <w:rPr>
          <w:rFonts w:ascii="Noto Sans" w:eastAsia="Times New Roman" w:hAnsi="Noto Sans" w:cs="Noto Sans"/>
          <w:sz w:val="22"/>
          <w:lang w:val="es-ES"/>
        </w:rPr>
        <w:t>FIN</w:t>
      </w:r>
    </w:p>
    <w:p w14:paraId="17D5B465" w14:textId="04D6C445" w:rsidR="003A1909" w:rsidRPr="00613257" w:rsidRDefault="00D66051" w:rsidP="00613257">
      <w:pPr>
        <w:spacing w:line="240" w:lineRule="auto"/>
        <w:rPr>
          <w:rFonts w:ascii="Noto Sans" w:hAnsi="Noto Sans" w:cs="Noto Sans"/>
          <w:lang w:val="es-ES"/>
        </w:rPr>
      </w:pPr>
      <w:r w:rsidRPr="00613257">
        <w:rPr>
          <w:rFonts w:ascii="Noto Sans" w:eastAsia="Gill Sans" w:hAnsi="Noto Sans" w:cs="Noto Sans"/>
          <w:szCs w:val="18"/>
          <w:lang w:val="es-ES"/>
        </w:rPr>
        <w:br/>
      </w:r>
      <w:bookmarkStart w:id="0" w:name="_Hlk531088985"/>
      <w:r w:rsidR="00613257" w:rsidRPr="005708CC">
        <w:rPr>
          <w:rFonts w:ascii="Noto Sans" w:hAnsi="Noto Sans" w:cs="Noto Sans"/>
          <w:b/>
          <w:bCs/>
          <w:szCs w:val="18"/>
          <w:lang w:val="es"/>
        </w:rPr>
        <w:t>Política de responsabilidad</w:t>
      </w:r>
      <w:r w:rsidR="00613257">
        <w:rPr>
          <w:rFonts w:ascii="Noto Sans" w:hAnsi="Noto Sans" w:cs="Noto Sans"/>
          <w:b/>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Tintas</w:t>
      </w:r>
      <w:r w:rsidR="0075177C">
        <w:rPr>
          <w:rFonts w:ascii="Noto Sans" w:hAnsi="Noto Sans" w:cs="Noto Sans"/>
          <w:b/>
          <w:bCs/>
          <w:szCs w:val="18"/>
          <w:lang w:val="es-ES"/>
        </w:rPr>
        <w:br/>
      </w:r>
      <w:r w:rsidR="00613257" w:rsidRPr="00160027">
        <w:rPr>
          <w:rFonts w:ascii="Noto Sans" w:hAnsi="Noto Sans" w:cs="Noto Sans"/>
          <w:szCs w:val="18"/>
          <w:lang w:val="es-ES"/>
        </w:rPr>
        <w:t xml:space="preserve">La información contenida en este documento no pretende sustituir a la realización de pruebas adecuadas a su uso y sus circunstancias particulares. Domino UK </w:t>
      </w:r>
      <w:proofErr w:type="spellStart"/>
      <w:r w:rsidR="00613257" w:rsidRPr="00160027">
        <w:rPr>
          <w:rFonts w:ascii="Noto Sans" w:hAnsi="Noto Sans" w:cs="Noto Sans"/>
          <w:szCs w:val="18"/>
          <w:lang w:val="es-ES"/>
        </w:rPr>
        <w:t>Limited</w:t>
      </w:r>
      <w:proofErr w:type="spellEnd"/>
      <w:r w:rsidR="00613257" w:rsidRPr="00160027">
        <w:rPr>
          <w:rFonts w:ascii="Noto Sans" w:hAnsi="Noto Sans" w:cs="Noto Sans"/>
          <w:szCs w:val="18"/>
          <w:lang w:val="es-ES"/>
        </w:rPr>
        <w:t xml:space="preserve">, así como las empresas del Grupo Domino, no se hacen responsables en ningún caso de la idoneidad de cualquier tinta utilizada en este documento para su aplicación particular. Este documento no forma parte de ningún tipo de contrato de términos y condiciones entre Domino y sus clientes; los avisos legales de limitación de responsabilidad v.1.0 de febrero de 2018 y los términos y condiciones generales de venta de Domino, y en concreto las garantías y responsabilidades que en ellos se recogen, se aplicarán a cualquier compra de producto por parte de los clientes.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Información general</w:t>
      </w:r>
      <w:r w:rsidR="0075177C">
        <w:rPr>
          <w:rFonts w:ascii="Noto Sans" w:hAnsi="Noto Sans" w:cs="Noto Sans"/>
          <w:b/>
          <w:bCs/>
          <w:szCs w:val="18"/>
          <w:lang w:val="es-ES"/>
        </w:rPr>
        <w:br/>
      </w:r>
      <w:r w:rsidR="00B9208C" w:rsidRPr="00160027">
        <w:rPr>
          <w:rFonts w:ascii="Noto Sans" w:hAnsi="Noto Sans" w:cs="Noto Sans"/>
          <w:szCs w:val="18"/>
          <w:lang w:val="es-ES"/>
        </w:rPr>
        <w:t xml:space="preserve">La información contenida en este comunicado de prensa se considera verdadera y correcta en la fecha de publicación de Domino; los cambios en las circunstancias tras el momento de publicación pueden afectar a la precisión de </w:t>
      </w:r>
      <w:proofErr w:type="gramStart"/>
      <w:r w:rsidR="00B9208C" w:rsidRPr="00160027">
        <w:rPr>
          <w:rFonts w:ascii="Noto Sans" w:hAnsi="Noto Sans" w:cs="Noto Sans"/>
          <w:szCs w:val="18"/>
          <w:lang w:val="es-ES"/>
        </w:rPr>
        <w:t>la misma</w:t>
      </w:r>
      <w:proofErr w:type="gramEnd"/>
      <w:r w:rsidR="00B9208C" w:rsidRPr="00160027">
        <w:rPr>
          <w:rFonts w:ascii="Noto Sans" w:hAnsi="Noto Sans" w:cs="Noto Sans"/>
          <w:szCs w:val="18"/>
          <w:lang w:val="es-ES"/>
        </w:rPr>
        <w:t xml:space="preserve">. </w:t>
      </w:r>
      <w:r w:rsidR="00613257" w:rsidRPr="00160027">
        <w:rPr>
          <w:rFonts w:ascii="Noto Sans" w:hAnsi="Noto Sans" w:cs="Noto Sans"/>
          <w:szCs w:val="18"/>
          <w:lang w:val="es-ES"/>
        </w:rPr>
        <w:t xml:space="preserve">Todas las cifras y declaraciones de rendimiento que constan en este documento han sido obtenidas en condiciones específicas y solo pueden ser reproducidas en circunstancias similares. Deberá ponerse en contacto con su comercial de Domino para más información sobre productos concretos. Este documento no forma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Imágenes</w:t>
      </w:r>
      <w:r w:rsidR="0075177C">
        <w:rPr>
          <w:rFonts w:ascii="Noto Sans" w:hAnsi="Noto Sans" w:cs="Noto Sans"/>
          <w:b/>
          <w:bCs/>
          <w:szCs w:val="18"/>
          <w:lang w:val="es-ES"/>
        </w:rPr>
        <w:br/>
      </w:r>
      <w:r w:rsidR="00613257" w:rsidRPr="00160027">
        <w:rPr>
          <w:rFonts w:ascii="Noto Sans" w:hAnsi="Noto Sans" w:cs="Noto Sans"/>
          <w:szCs w:val="18"/>
          <w:lang w:val="es-ES"/>
        </w:rPr>
        <w:t xml:space="preserve">Las imágenes pueden incluir extras opcionales o actualizaciones. La calidad de impresión puede variar en </w:t>
      </w:r>
      <w:r w:rsidR="00613257" w:rsidRPr="00160027">
        <w:rPr>
          <w:rFonts w:ascii="Noto Sans" w:hAnsi="Noto Sans" w:cs="Noto Sans"/>
          <w:szCs w:val="18"/>
          <w:lang w:val="es-ES"/>
        </w:rPr>
        <w:lastRenderedPageBreak/>
        <w:t xml:space="preserve">función de los consumibles, la impresora, los sustratos y otros factores. Las imágenes y las fotografías no forman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Vídeos</w:t>
      </w:r>
      <w:r w:rsidR="0075177C">
        <w:rPr>
          <w:rFonts w:ascii="Noto Sans" w:hAnsi="Noto Sans" w:cs="Noto Sans"/>
          <w:b/>
          <w:bCs/>
          <w:szCs w:val="18"/>
          <w:lang w:val="es-ES"/>
        </w:rPr>
        <w:br/>
      </w:r>
      <w:r w:rsidR="00613257" w:rsidRPr="00160027">
        <w:rPr>
          <w:rFonts w:ascii="Noto Sans" w:hAnsi="Noto Sans" w:cs="Noto Sans"/>
          <w:szCs w:val="18"/>
          <w:lang w:val="es-ES"/>
        </w:rPr>
        <w:t>Este vídeo se facilita únicamente con fines ilustrativos y puede incluir extras opcionales. Las cifras de rendimiento se han obtenido en condiciones específicas; el rendimiento sobre el terreno puede variar. Algunos errores y tiempo de inactividad en las líneas de producción pueden ser inevitables. No hay nada en este vídeo que forme parte de ningún contrato entre usted y Domino.</w:t>
      </w:r>
      <w:r w:rsidR="0075177C" w:rsidRPr="0075177C">
        <w:rPr>
          <w:rFonts w:ascii="Noto Sans" w:hAnsi="Noto Sans" w:cs="Noto Sans"/>
          <w:b/>
          <w:bCs/>
          <w:szCs w:val="18"/>
          <w:lang w:val="es-ES"/>
        </w:rPr>
        <w:t xml:space="preserve"> </w:t>
      </w:r>
      <w:r w:rsidR="0075177C">
        <w:rPr>
          <w:rFonts w:ascii="Noto Sans" w:hAnsi="Noto Sans" w:cs="Noto Sans"/>
          <w:b/>
          <w:bCs/>
          <w:szCs w:val="18"/>
          <w:lang w:val="es-ES"/>
        </w:rPr>
        <w:br/>
      </w:r>
      <w:r w:rsidR="00613257">
        <w:rPr>
          <w:rFonts w:ascii="Noto Sans" w:hAnsi="Noto Sans" w:cs="Noto Sans"/>
          <w:b/>
          <w:bCs/>
          <w:szCs w:val="18"/>
          <w:lang w:val="es-ES"/>
        </w:rPr>
        <w:br/>
      </w:r>
      <w:bookmarkEnd w:id="0"/>
      <w:r w:rsidR="00613257" w:rsidRPr="005708CC">
        <w:rPr>
          <w:rFonts w:ascii="Noto Sans" w:eastAsia="Gill Sans" w:hAnsi="Noto Sans" w:cs="Noto Sans"/>
          <w:b/>
          <w:bCs/>
          <w:szCs w:val="18"/>
          <w:lang w:val="es"/>
        </w:rPr>
        <w:t>Notas para los editores:</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b/>
          <w:bCs/>
          <w:szCs w:val="18"/>
          <w:lang w:val="es"/>
        </w:rPr>
        <w:t>Acerca de Domino</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 xml:space="preserve">Digital Printing </w:t>
      </w:r>
      <w:proofErr w:type="spellStart"/>
      <w:r w:rsidR="00613257" w:rsidRPr="005708CC">
        <w:rPr>
          <w:rFonts w:ascii="Noto Sans" w:eastAsia="Gill Sans" w:hAnsi="Noto Sans" w:cs="Noto Sans"/>
          <w:szCs w:val="18"/>
          <w:lang w:val="es-ES"/>
        </w:rPr>
        <w:t>Solutions</w:t>
      </w:r>
      <w:proofErr w:type="spellEnd"/>
      <w:r w:rsidR="00613257" w:rsidRPr="005708CC">
        <w:rPr>
          <w:rFonts w:ascii="Noto Sans" w:eastAsia="Gill Sans" w:hAnsi="Noto Sans" w:cs="Noto Sans"/>
          <w:szCs w:val="18"/>
          <w:lang w:val="es-ES"/>
        </w:rPr>
        <w:t xml:space="preserve"> es una división de Domino Printing </w:t>
      </w:r>
      <w:proofErr w:type="spellStart"/>
      <w:r w:rsidR="00613257" w:rsidRPr="005708CC">
        <w:rPr>
          <w:rFonts w:ascii="Noto Sans" w:eastAsia="Gill Sans" w:hAnsi="Noto Sans" w:cs="Noto Sans"/>
          <w:szCs w:val="18"/>
          <w:lang w:val="es-ES"/>
        </w:rPr>
        <w:t>Sciences</w:t>
      </w:r>
      <w:proofErr w:type="spellEnd"/>
      <w:r w:rsidR="00613257" w:rsidRPr="005708CC">
        <w:rPr>
          <w:rFonts w:ascii="Noto Sans" w:eastAsia="Gill Sans" w:hAnsi="Noto Sans" w:cs="Noto Sans"/>
          <w:szCs w:val="18"/>
          <w:lang w:val="es-ES"/>
        </w:rPr>
        <w:t>. La empresa, fundada en 1978, goza de una excelente reputación a nivel mundial por el desarrollo y la fabricación de tecnologías de impresión digital de inyección de tinta, así como por sus servicios postventa y de atención al cliente a nivel internacional.  Entre sus servicios destinados al sector de la impresión comercial se incluyen las impresoras digitales de inyección de tinta y los sistemas de control diseñados para ofrecer soluciones en una amplia gama de aplicaciones de etiquetado e impresión de datos variables.</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Todas las impresoras de Domino se han diseñado para satisfacer las exigencias de gran velocidad y alta calidad de los entornos de impresión comercial, y aportar nuevas capacidades a numerosos sectores entre los que figuran los del etiquetado, publicaciones e impresión de seguridad, transacciones, conversión de embalajes, tarjetas de plástico, tickets, juegos de cartas y formularios, así como las industrias del correo directo y postal.</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Domino cuenta con más de 3000 colaboradores en todo el mundo y vende a más de 120 países a través de una red global de 29 filiales y más de 200 distribuidores. Domino cuenta con fábricas en Alemania, China, </w:t>
      </w:r>
      <w:proofErr w:type="gramStart"/>
      <w:r w:rsidR="00613257" w:rsidRPr="005708CC">
        <w:rPr>
          <w:rFonts w:ascii="Noto Sans" w:eastAsia="Gill Sans" w:hAnsi="Noto Sans" w:cs="Noto Sans"/>
          <w:szCs w:val="18"/>
          <w:lang w:val="es"/>
        </w:rPr>
        <w:t>EE.UU.</w:t>
      </w:r>
      <w:proofErr w:type="gramEnd"/>
      <w:r w:rsidR="00613257" w:rsidRPr="005708CC">
        <w:rPr>
          <w:rFonts w:ascii="Noto Sans" w:eastAsia="Gill Sans" w:hAnsi="Noto Sans" w:cs="Noto Sans"/>
          <w:szCs w:val="18"/>
          <w:lang w:val="es"/>
        </w:rPr>
        <w:t>, India, Reino Unido, Suecia y Suiza.</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Domino pasó a ser una división autónoma de Brother Industries Ltd. el 11 de junio de 2015. </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Para más información sobre Domino, visite </w:t>
      </w:r>
      <w:hyperlink r:id="rId13">
        <w:r w:rsidR="00613257" w:rsidRPr="005708CC">
          <w:rPr>
            <w:rFonts w:ascii="Noto Sans" w:eastAsia="Gill Sans" w:hAnsi="Noto Sans" w:cs="Noto Sans"/>
            <w:szCs w:val="18"/>
            <w:u w:val="single"/>
            <w:lang w:val="es"/>
          </w:rPr>
          <w:t>www.domino-spain.com</w:t>
        </w:r>
      </w:hyperlink>
      <w:r w:rsidR="00613257" w:rsidRPr="005708CC">
        <w:rPr>
          <w:rFonts w:ascii="Noto Sans" w:eastAsia="Gill Sans" w:hAnsi="Noto Sans" w:cs="Noto Sans"/>
          <w:szCs w:val="18"/>
          <w:lang w:val="es"/>
        </w:rPr>
        <w:t xml:space="preserve">. </w:t>
      </w:r>
      <w:r w:rsidR="00613257">
        <w:rPr>
          <w:rFonts w:ascii="Noto Sans" w:eastAsia="Gill Sans" w:hAnsi="Noto Sans" w:cs="Noto Sans"/>
          <w:szCs w:val="18"/>
          <w:lang w:val="es-ES"/>
        </w:rPr>
        <w:br/>
      </w:r>
      <w:r w:rsidR="00613257" w:rsidRPr="00CC4435">
        <w:rPr>
          <w:rFonts w:ascii="Noto Sans" w:eastAsia="Gill Sans" w:hAnsi="Noto Sans" w:cs="Noto Sans"/>
          <w:szCs w:val="18"/>
          <w:lang w:val="es-ES"/>
        </w:rPr>
        <w:br/>
      </w:r>
      <w:r w:rsidR="00613257" w:rsidRPr="00CC4435">
        <w:rPr>
          <w:rFonts w:ascii="Noto Sans" w:hAnsi="Noto Sans" w:cs="Noto Sans"/>
          <w:szCs w:val="18"/>
          <w:lang w:val="es-ES"/>
        </w:rPr>
        <w:br/>
      </w:r>
      <w:r w:rsidR="00613257" w:rsidRPr="00CC4435">
        <w:rPr>
          <w:rFonts w:ascii="Noto Sans" w:eastAsia="Gill Sans" w:hAnsi="Noto Sans" w:cs="Noto Sans"/>
          <w:b/>
          <w:bCs/>
          <w:szCs w:val="18"/>
          <w:lang w:val="es"/>
        </w:rPr>
        <w:t xml:space="preserve">Para </w:t>
      </w:r>
      <w:r w:rsidR="00295109" w:rsidRPr="00CC4435">
        <w:rPr>
          <w:rFonts w:ascii="Noto Sans" w:eastAsia="Gill Sans" w:hAnsi="Noto Sans" w:cs="Noto Sans"/>
          <w:b/>
          <w:bCs/>
          <w:szCs w:val="18"/>
          <w:lang w:val="es"/>
        </w:rPr>
        <w:t>más</w:t>
      </w:r>
      <w:r w:rsidR="00613257" w:rsidRPr="00CC4435">
        <w:rPr>
          <w:rFonts w:ascii="Noto Sans" w:eastAsia="Gill Sans" w:hAnsi="Noto Sans" w:cs="Noto Sans"/>
          <w:b/>
          <w:bCs/>
          <w:szCs w:val="18"/>
          <w:lang w:val="es"/>
        </w:rPr>
        <w:t xml:space="preserve"> </w:t>
      </w:r>
      <w:r w:rsidR="00295109" w:rsidRPr="00CC4435">
        <w:rPr>
          <w:rFonts w:ascii="Noto Sans" w:eastAsia="Gill Sans" w:hAnsi="Noto Sans" w:cs="Noto Sans"/>
          <w:b/>
          <w:bCs/>
          <w:szCs w:val="18"/>
          <w:lang w:val="es"/>
        </w:rPr>
        <w:t>información</w:t>
      </w:r>
      <w:r w:rsidR="00613257" w:rsidRPr="00CC4435">
        <w:rPr>
          <w:rFonts w:ascii="Noto Sans" w:eastAsia="Gill Sans" w:hAnsi="Noto Sans" w:cs="Noto Sans"/>
          <w:b/>
          <w:bCs/>
          <w:szCs w:val="18"/>
          <w:lang w:val="es"/>
        </w:rPr>
        <w:t xml:space="preserve"> contacte:</w:t>
      </w:r>
      <w:r w:rsidR="00613257" w:rsidRPr="00CC4435">
        <w:rPr>
          <w:rFonts w:ascii="Noto Sans" w:eastAsia="Gill Sans" w:hAnsi="Noto Sans" w:cs="Noto Sans"/>
          <w:szCs w:val="18"/>
          <w:lang w:val="es-ES"/>
        </w:rPr>
        <w:br/>
      </w:r>
      <w:r w:rsidR="00613257" w:rsidRPr="00295109">
        <w:rPr>
          <w:rFonts w:ascii="Noto Sans" w:hAnsi="Noto Sans" w:cs="Noto Sans"/>
          <w:szCs w:val="18"/>
          <w:lang w:val="es-ES"/>
        </w:rPr>
        <w:br/>
      </w:r>
      <w:r w:rsidR="00613257" w:rsidRPr="00CC4435">
        <w:rPr>
          <w:rFonts w:ascii="Noto Sans" w:hAnsi="Noto Sans" w:cs="Noto Sans"/>
          <w:szCs w:val="18"/>
          <w:lang w:val="es-ES"/>
        </w:rPr>
        <w:t>Kathrin Farr</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Ejecutiva de contenido y Redactora  </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Domino Printing </w:t>
      </w:r>
      <w:proofErr w:type="spellStart"/>
      <w:r w:rsidR="00613257" w:rsidRPr="00CC4435">
        <w:rPr>
          <w:rFonts w:ascii="Noto Sans" w:hAnsi="Noto Sans" w:cs="Noto Sans"/>
          <w:szCs w:val="18"/>
          <w:lang w:val="es"/>
        </w:rPr>
        <w:t>Sciences</w:t>
      </w:r>
      <w:proofErr w:type="spellEnd"/>
      <w:r w:rsidR="00613257" w:rsidRPr="00CC4435">
        <w:rPr>
          <w:rFonts w:ascii="Noto Sans" w:hAnsi="Noto Sans" w:cs="Noto Sans"/>
          <w:szCs w:val="18"/>
          <w:lang w:val="es-ES"/>
        </w:rPr>
        <w:br/>
        <w:t>Tel.: +44 (0) 1954 782551</w:t>
      </w:r>
      <w:r w:rsidR="00613257" w:rsidRPr="00CC4435">
        <w:rPr>
          <w:rFonts w:ascii="Noto Sans" w:hAnsi="Noto Sans" w:cs="Noto Sans"/>
          <w:szCs w:val="18"/>
          <w:lang w:val="es-ES"/>
        </w:rPr>
        <w:br/>
      </w:r>
      <w:hyperlink r:id="rId14" w:history="1">
        <w:r w:rsidR="00613257" w:rsidRPr="00CC4435">
          <w:rPr>
            <w:rStyle w:val="Hyperlink"/>
            <w:rFonts w:ascii="Noto Sans" w:hAnsi="Noto Sans" w:cs="Noto Sans"/>
            <w:szCs w:val="18"/>
            <w:lang w:val="es-ES"/>
          </w:rPr>
          <w:t>Kathrin.Farr@domino-uk.com</w:t>
        </w:r>
      </w:hyperlink>
      <w:r w:rsidR="00613257" w:rsidRPr="00CC4435">
        <w:rPr>
          <w:rFonts w:ascii="Noto Sans" w:hAnsi="Noto Sans" w:cs="Noto Sans"/>
          <w:szCs w:val="18"/>
          <w:lang w:val="es-ES"/>
        </w:rPr>
        <w:t xml:space="preserve"> </w:t>
      </w:r>
      <w:r w:rsidR="00613257" w:rsidRPr="00CC4435">
        <w:rPr>
          <w:rFonts w:ascii="Noto Sans" w:hAnsi="Noto Sans" w:cs="Noto Sans"/>
          <w:szCs w:val="18"/>
          <w:lang w:val="es-ES"/>
        </w:rPr>
        <w:br/>
      </w:r>
      <w:r w:rsidR="00613257" w:rsidRPr="00CC4435">
        <w:rPr>
          <w:rFonts w:ascii="Noto Sans" w:hAnsi="Noto Sans" w:cs="Noto Sans"/>
          <w:szCs w:val="18"/>
          <w:lang w:val="es-ES"/>
        </w:rPr>
        <w:br/>
      </w:r>
      <w:r w:rsidR="006A35FF" w:rsidRPr="006A35FF">
        <w:rPr>
          <w:rFonts w:ascii="Noto Sans" w:hAnsi="Noto Sans" w:cs="Noto Sans"/>
          <w:szCs w:val="18"/>
          <w:lang w:val="es-ES"/>
        </w:rPr>
        <w:t xml:space="preserve">Jade Taylor-Salazar </w:t>
      </w:r>
      <w:r w:rsidR="00901C32" w:rsidRPr="00901C32">
        <w:rPr>
          <w:rFonts w:ascii="Noto Sans" w:hAnsi="Noto Sans" w:cs="Noto Sans"/>
          <w:szCs w:val="18"/>
          <w:lang w:val="es-ES"/>
        </w:rPr>
        <w:br/>
      </w:r>
      <w:r w:rsidR="00901C32" w:rsidRPr="00CC4435">
        <w:rPr>
          <w:rFonts w:ascii="Noto Sans" w:hAnsi="Noto Sans" w:cs="Noto Sans"/>
          <w:szCs w:val="18"/>
          <w:lang w:val="es"/>
        </w:rPr>
        <w:t xml:space="preserve">RR. PP. y </w:t>
      </w:r>
      <w:proofErr w:type="gramStart"/>
      <w:r w:rsidR="00901C32" w:rsidRPr="00CC4435">
        <w:rPr>
          <w:rFonts w:ascii="Noto Sans" w:hAnsi="Noto Sans" w:cs="Noto Sans"/>
          <w:szCs w:val="18"/>
          <w:lang w:val="es"/>
        </w:rPr>
        <w:t>Directora</w:t>
      </w:r>
      <w:proofErr w:type="gramEnd"/>
      <w:r w:rsidR="00901C32" w:rsidRPr="00CC4435">
        <w:rPr>
          <w:rFonts w:ascii="Noto Sans" w:hAnsi="Noto Sans" w:cs="Noto Sans"/>
          <w:szCs w:val="18"/>
          <w:lang w:val="es"/>
        </w:rPr>
        <w:t xml:space="preserve"> de contenido</w:t>
      </w:r>
      <w:r w:rsidR="00901C32" w:rsidRPr="00901C32">
        <w:rPr>
          <w:rFonts w:ascii="Noto Sans" w:hAnsi="Noto Sans" w:cs="Noto Sans"/>
          <w:szCs w:val="18"/>
          <w:lang w:val="es-ES"/>
        </w:rPr>
        <w:br/>
      </w:r>
      <w:r w:rsidR="006A35FF" w:rsidRPr="006A35FF">
        <w:rPr>
          <w:rFonts w:ascii="Noto Sans" w:hAnsi="Noto Sans" w:cs="Noto Sans"/>
          <w:szCs w:val="18"/>
          <w:lang w:val="es-ES"/>
        </w:rPr>
        <w:t xml:space="preserve">Domino Printing </w:t>
      </w:r>
      <w:proofErr w:type="spellStart"/>
      <w:r w:rsidR="006A35FF" w:rsidRPr="006A35FF">
        <w:rPr>
          <w:rFonts w:ascii="Noto Sans" w:hAnsi="Noto Sans" w:cs="Noto Sans"/>
          <w:szCs w:val="18"/>
          <w:lang w:val="es-ES"/>
        </w:rPr>
        <w:t>Sciences</w:t>
      </w:r>
      <w:proofErr w:type="spellEnd"/>
      <w:r w:rsidR="006A35FF" w:rsidRPr="006A35FF">
        <w:rPr>
          <w:rFonts w:ascii="Noto Sans" w:hAnsi="Noto Sans" w:cs="Noto Sans"/>
          <w:szCs w:val="18"/>
          <w:lang w:val="es-ES"/>
        </w:rPr>
        <w:t xml:space="preserve"> </w:t>
      </w:r>
      <w:r w:rsidR="006A35FF" w:rsidRPr="006A35FF">
        <w:rPr>
          <w:rFonts w:ascii="Noto Sans" w:hAnsi="Noto Sans" w:cs="Noto Sans"/>
          <w:szCs w:val="18"/>
          <w:lang w:val="es-ES"/>
        </w:rPr>
        <w:br/>
        <w:t>Tel: +44 (0) 1954 778780</w:t>
      </w:r>
      <w:r w:rsidR="006A35FF" w:rsidRPr="006A35FF">
        <w:rPr>
          <w:rFonts w:ascii="Noto Sans" w:hAnsi="Noto Sans" w:cs="Noto Sans"/>
          <w:szCs w:val="18"/>
          <w:lang w:val="es-ES"/>
        </w:rPr>
        <w:br/>
      </w:r>
      <w:hyperlink r:id="rId15" w:history="1">
        <w:r w:rsidR="006A35FF" w:rsidRPr="006A35FF">
          <w:rPr>
            <w:rStyle w:val="Hyperlink"/>
            <w:rFonts w:ascii="Noto Sans" w:hAnsi="Noto Sans" w:cs="Noto Sans"/>
            <w:szCs w:val="18"/>
            <w:lang w:val="es-ES"/>
          </w:rPr>
          <w:t>Jade.Taylor-Salazar@domino-uk.com</w:t>
        </w:r>
      </w:hyperlink>
    </w:p>
    <w:sectPr w:rsidR="003A1909" w:rsidRPr="00613257" w:rsidSect="000F6D0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0787" w14:textId="77777777" w:rsidR="002B773C" w:rsidRDefault="002B773C" w:rsidP="00785717">
      <w:pPr>
        <w:spacing w:line="240" w:lineRule="auto"/>
      </w:pPr>
      <w:r>
        <w:separator/>
      </w:r>
    </w:p>
  </w:endnote>
  <w:endnote w:type="continuationSeparator" w:id="0">
    <w:p w14:paraId="5DB02204" w14:textId="77777777" w:rsidR="002B773C" w:rsidRDefault="002B773C"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Nirmala UI"/>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E67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0AAA" w14:textId="77777777" w:rsidR="00785717" w:rsidRDefault="000F6D00" w:rsidP="00785717">
    <w:pPr>
      <w:pStyle w:val="Footer"/>
    </w:pPr>
    <w:r>
      <w:rPr>
        <w:noProof/>
      </w:rPr>
      <w:drawing>
        <wp:anchor distT="0" distB="0" distL="114300" distR="114300" simplePos="0" relativeHeight="251659264" behindDoc="0" locked="0" layoutInCell="1" allowOverlap="1" wp14:anchorId="1775B516" wp14:editId="19B0C3F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D5BA730" wp14:editId="3029B3F4">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044F"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927C3" w14:textId="77777777" w:rsidR="002B773C" w:rsidRDefault="002B773C" w:rsidP="00785717">
      <w:pPr>
        <w:spacing w:line="240" w:lineRule="auto"/>
      </w:pPr>
      <w:r>
        <w:separator/>
      </w:r>
    </w:p>
  </w:footnote>
  <w:footnote w:type="continuationSeparator" w:id="0">
    <w:p w14:paraId="623FE6A4" w14:textId="77777777" w:rsidR="002B773C" w:rsidRDefault="002B773C"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10A4"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C67F" w14:textId="77777777" w:rsidR="000F6D00" w:rsidRDefault="002766D9">
    <w:pPr>
      <w:pStyle w:val="Header"/>
    </w:pPr>
    <w:r>
      <w:rPr>
        <w:noProof/>
      </w:rPr>
      <w:drawing>
        <wp:anchor distT="0" distB="0" distL="114300" distR="114300" simplePos="0" relativeHeight="251661312" behindDoc="0" locked="0" layoutInCell="1" allowOverlap="1" wp14:anchorId="1D2C7C59" wp14:editId="4EAB29F7">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1EA2"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32"/>
    <w:rsid w:val="0002201E"/>
    <w:rsid w:val="00036EF0"/>
    <w:rsid w:val="000F6D00"/>
    <w:rsid w:val="001D743C"/>
    <w:rsid w:val="002202E3"/>
    <w:rsid w:val="00240801"/>
    <w:rsid w:val="002766D9"/>
    <w:rsid w:val="00295109"/>
    <w:rsid w:val="002B6890"/>
    <w:rsid w:val="002B773C"/>
    <w:rsid w:val="00323DC5"/>
    <w:rsid w:val="00372E92"/>
    <w:rsid w:val="003A1909"/>
    <w:rsid w:val="003C5301"/>
    <w:rsid w:val="005272B1"/>
    <w:rsid w:val="005524DB"/>
    <w:rsid w:val="005741C7"/>
    <w:rsid w:val="005E6C45"/>
    <w:rsid w:val="00613257"/>
    <w:rsid w:val="00647055"/>
    <w:rsid w:val="00660F46"/>
    <w:rsid w:val="00680977"/>
    <w:rsid w:val="006A1A38"/>
    <w:rsid w:val="006A35FF"/>
    <w:rsid w:val="0075177C"/>
    <w:rsid w:val="00785717"/>
    <w:rsid w:val="00791A4F"/>
    <w:rsid w:val="008220B7"/>
    <w:rsid w:val="00823B77"/>
    <w:rsid w:val="008916A8"/>
    <w:rsid w:val="008B6461"/>
    <w:rsid w:val="008E5E0C"/>
    <w:rsid w:val="008F3E38"/>
    <w:rsid w:val="00901C32"/>
    <w:rsid w:val="00931996"/>
    <w:rsid w:val="0095171A"/>
    <w:rsid w:val="009A1716"/>
    <w:rsid w:val="009A1DEC"/>
    <w:rsid w:val="009D6280"/>
    <w:rsid w:val="00A34918"/>
    <w:rsid w:val="00AB11DA"/>
    <w:rsid w:val="00AF1A46"/>
    <w:rsid w:val="00B23C3C"/>
    <w:rsid w:val="00B51122"/>
    <w:rsid w:val="00B546C5"/>
    <w:rsid w:val="00B7088D"/>
    <w:rsid w:val="00B85689"/>
    <w:rsid w:val="00B9208C"/>
    <w:rsid w:val="00BC7C15"/>
    <w:rsid w:val="00C063FE"/>
    <w:rsid w:val="00C44603"/>
    <w:rsid w:val="00C541FE"/>
    <w:rsid w:val="00CF1AD5"/>
    <w:rsid w:val="00D52AA9"/>
    <w:rsid w:val="00D66051"/>
    <w:rsid w:val="00D71CD4"/>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4302"/>
  <w15:chartTrackingRefBased/>
  <w15:docId w15:val="{4172CF21-9575-43D1-8F59-CDEEE6DF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blog/2023/the-future-of-traceability-get-ready-for-the-digital-product-passport?utm_medium=non-paid&amp;amp;utm_source=onlinepublication&amp;amp;utm_content=pr-dp-2D-code-soundbite&amp;amp;utm_campaign=2026-int-en-Global-PR-DP-FY26-Q1" TargetMode="External"/><Relationship Id="rId13" Type="http://schemas.openxmlformats.org/officeDocument/2006/relationships/hyperlink" Target="https://dominops-my.sharepoint.com/personal/kathrin_farr_domino-uk_com/Documents/Desktop/www.domino-spain.co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gs1.org/industries/retail/2D-barcodes" TargetMode="External"/><Relationship Id="rId12" Type="http://schemas.openxmlformats.org/officeDocument/2006/relationships/hyperlink" Target="https://www.domino-printing.com/en/home.aspx?utm_medium=non-paid&amp;amp;utm_source=onlinepublication&amp;amp;utm_content=pr-dp-2D-code-soundbite&amp;amp;utm_campaign=2026-int-en-Global-PR-DP-FY26-Q1"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domino-printing.com/en/blog/2024/gs1-2d-code-sunrise-digital-qr-code-printing?utm_medium=non-paid&amp;amp;utm_source=onlinepublication&amp;amp;utm_content=pr-dp-2D-code-soundbite&amp;amp;utm_campaign=2026-int-en-Global-PR-DP-FY26-Q1" TargetMode="External"/><Relationship Id="rId11" Type="http://schemas.openxmlformats.org/officeDocument/2006/relationships/hyperlink" Target="https://ref.gs1.org/docs/2025/GS1-2D-colour-guide-i10-f-25-02-10" TargetMode="External"/><Relationship Id="rId5" Type="http://schemas.openxmlformats.org/officeDocument/2006/relationships/endnotes" Target="endnotes.xml"/><Relationship Id="rId15" Type="http://schemas.openxmlformats.org/officeDocument/2006/relationships/hyperlink" Target="mailto:Jade.Taylor-Salazar@domino-uk.com" TargetMode="External"/><Relationship Id="rId23" Type="http://schemas.openxmlformats.org/officeDocument/2006/relationships/theme" Target="theme/theme1.xml"/><Relationship Id="rId10" Type="http://schemas.openxmlformats.org/officeDocument/2006/relationships/hyperlink" Target="https://ref.gs1.org/docs/2025/GS1-2D-colour-guide-i10-f-25-02-10"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domino-printing.com/en-gb/blog/2021/the-difference-between-a-data-matrix-code-and-a-qr-code?utm_medium=non-paid&amp;amp;utm_source=onlinepublication&amp;amp;utm_content=pr-dp-2D-code-soundbite&amp;amp;utm_campaign=2026-int-en-Global-PR-DP-FY26-Q1" TargetMode="External"/><Relationship Id="rId14" Type="http://schemas.openxmlformats.org/officeDocument/2006/relationships/hyperlink" Target="mailto:Kathrin.Farr@domino-uk.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Disclaimer ES Template - AC</Template>
  <TotalTime>1</TotalTime>
  <Pages>4</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2026-06-12T07:43:00Z</dcterms:created>
  <dcterms:modified xsi:type="dcterms:W3CDTF">2026-06-12T07:43:00Z</dcterms:modified>
</cp:coreProperties>
</file>