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AE33" w14:textId="77777777" w:rsidR="00255F12" w:rsidRPr="00255F12" w:rsidRDefault="00255F12" w:rsidP="00255F12">
      <w:pPr>
        <w:spacing w:before="120" w:after="120" w:line="240" w:lineRule="auto"/>
        <w:rPr>
          <w:rFonts w:ascii="Noto Sans" w:eastAsia="Times New Roman" w:hAnsi="Noto Sans" w:cs="Noto Sans"/>
          <w:sz w:val="28"/>
          <w:szCs w:val="28"/>
          <w:lang w:val="de-DE"/>
        </w:rPr>
      </w:pPr>
      <w:bookmarkStart w:id="0" w:name="_Hlk46133219"/>
      <w:r w:rsidRPr="00255F12">
        <w:rPr>
          <w:rFonts w:ascii="Noto Sans" w:eastAsia="Times New Roman" w:hAnsi="Noto Sans" w:cs="Noto Sans"/>
          <w:b/>
          <w:bCs/>
          <w:sz w:val="28"/>
          <w:szCs w:val="28"/>
          <w:lang w:val="de-DE"/>
        </w:rPr>
        <w:t>Vom Druck bis ins Regal:</w:t>
      </w:r>
      <w:r w:rsidRPr="00255F12">
        <w:rPr>
          <w:rFonts w:ascii="Noto Sans" w:eastAsia="Times New Roman" w:hAnsi="Noto Sans" w:cs="Noto Sans"/>
          <w:sz w:val="28"/>
          <w:szCs w:val="28"/>
          <w:lang w:val="de-DE"/>
        </w:rPr>
        <w:t xml:space="preserve"> </w:t>
      </w:r>
      <w:r w:rsidRPr="00255F12">
        <w:rPr>
          <w:rFonts w:ascii="Noto Sans" w:eastAsia="Times New Roman" w:hAnsi="Noto Sans" w:cs="Noto Sans"/>
          <w:b/>
          <w:bCs/>
          <w:sz w:val="28"/>
          <w:szCs w:val="28"/>
          <w:lang w:val="de-DE"/>
        </w:rPr>
        <w:t>Zuverlässige, GS1-konforme 2D-Codes für Etiketten und Verpackungen</w:t>
      </w:r>
    </w:p>
    <w:p w14:paraId="0C079D84" w14:textId="0611CEC0" w:rsidR="00255F12" w:rsidRPr="00255F12" w:rsidRDefault="00255F12" w:rsidP="00255F12">
      <w:pPr>
        <w:spacing w:before="120" w:after="120" w:line="240" w:lineRule="auto"/>
        <w:rPr>
          <w:rFonts w:ascii="Noto Sans" w:eastAsia="Times New Roman" w:hAnsi="Noto Sans" w:cs="Noto Sans"/>
          <w:sz w:val="22"/>
          <w:lang w:val="de-DE"/>
        </w:rPr>
      </w:pPr>
      <w:r>
        <w:rPr>
          <w:rFonts w:ascii="Noto Sans" w:eastAsia="Times New Roman" w:hAnsi="Noto Sans" w:cs="Noto Sans"/>
          <w:sz w:val="22"/>
          <w:lang w:val="de-DE"/>
        </w:rPr>
        <w:t>D</w:t>
      </w:r>
      <w:r w:rsidRPr="00255F12">
        <w:rPr>
          <w:rFonts w:ascii="Noto Sans" w:eastAsia="Times New Roman" w:hAnsi="Noto Sans" w:cs="Noto Sans"/>
          <w:sz w:val="22"/>
          <w:lang w:val="de-DE"/>
        </w:rPr>
        <w:t xml:space="preserve">ie Einführung von Verpackungen und Etiketten mit </w:t>
      </w:r>
      <w:hyperlink r:id="rId6" w:history="1">
        <w:r w:rsidRPr="00255F12">
          <w:rPr>
            <w:rFonts w:ascii="Noto Sans" w:eastAsia="Times New Roman" w:hAnsi="Noto Sans" w:cs="Noto Sans"/>
            <w:color w:val="0563C1" w:themeColor="hyperlink"/>
            <w:sz w:val="22"/>
            <w:u w:val="single"/>
            <w:lang w:val="de-DE"/>
          </w:rPr>
          <w:t>GS1-basierten 2D-Codes</w:t>
        </w:r>
      </w:hyperlink>
      <w:r w:rsidRPr="00255F12">
        <w:rPr>
          <w:rFonts w:ascii="Noto Sans" w:eastAsia="Times New Roman" w:hAnsi="Noto Sans" w:cs="Noto Sans"/>
          <w:sz w:val="22"/>
          <w:lang w:val="de-DE"/>
        </w:rPr>
        <w:t xml:space="preserve"> im Einzelhandel nimmt</w:t>
      </w:r>
      <w:r>
        <w:rPr>
          <w:rFonts w:ascii="Noto Sans" w:eastAsia="Times New Roman" w:hAnsi="Noto Sans" w:cs="Noto Sans"/>
          <w:sz w:val="22"/>
          <w:lang w:val="de-DE"/>
        </w:rPr>
        <w:t xml:space="preserve"> </w:t>
      </w:r>
      <w:r w:rsidRPr="00255F12">
        <w:rPr>
          <w:rFonts w:ascii="Noto Sans" w:eastAsia="Times New Roman" w:hAnsi="Noto Sans" w:cs="Noto Sans"/>
          <w:sz w:val="22"/>
          <w:lang w:val="de-DE"/>
        </w:rPr>
        <w:t>zunehmend Fahrt auf</w:t>
      </w:r>
      <w:r>
        <w:rPr>
          <w:rFonts w:ascii="Noto Sans" w:eastAsia="Times New Roman" w:hAnsi="Noto Sans" w:cs="Noto Sans"/>
          <w:sz w:val="22"/>
          <w:lang w:val="de-DE"/>
        </w:rPr>
        <w:t xml:space="preserve">. </w:t>
      </w:r>
      <w:r w:rsidRPr="00255F12">
        <w:rPr>
          <w:rFonts w:ascii="Noto Sans" w:eastAsia="Times New Roman" w:hAnsi="Noto Sans" w:cs="Noto Sans"/>
          <w:sz w:val="22"/>
          <w:lang w:val="de-DE"/>
        </w:rPr>
        <w:t xml:space="preserve">Toby Hayhurst, </w:t>
      </w:r>
      <w:proofErr w:type="spellStart"/>
      <w:r w:rsidRPr="00255F12">
        <w:rPr>
          <w:rFonts w:ascii="Noto Sans" w:eastAsia="Times New Roman" w:hAnsi="Noto Sans" w:cs="Noto Sans"/>
          <w:sz w:val="22"/>
          <w:lang w:val="de-DE"/>
        </w:rPr>
        <w:t>Product</w:t>
      </w:r>
      <w:proofErr w:type="spellEnd"/>
      <w:r w:rsidRPr="00255F12">
        <w:rPr>
          <w:rFonts w:ascii="Noto Sans" w:eastAsia="Times New Roman" w:hAnsi="Noto Sans" w:cs="Noto Sans"/>
          <w:sz w:val="22"/>
          <w:lang w:val="de-DE"/>
        </w:rPr>
        <w:t xml:space="preserve"> Manager – Digital Monochrome bei Domino Printing Sciences, </w:t>
      </w:r>
      <w:r>
        <w:rPr>
          <w:rFonts w:ascii="Noto Sans" w:eastAsia="Times New Roman" w:hAnsi="Noto Sans" w:cs="Noto Sans"/>
          <w:sz w:val="22"/>
          <w:lang w:val="de-DE"/>
        </w:rPr>
        <w:t xml:space="preserve">erläutert, </w:t>
      </w:r>
      <w:r w:rsidRPr="00255F12">
        <w:rPr>
          <w:rFonts w:ascii="Noto Sans" w:eastAsia="Times New Roman" w:hAnsi="Noto Sans" w:cs="Noto Sans"/>
          <w:sz w:val="22"/>
          <w:lang w:val="de-DE"/>
        </w:rPr>
        <w:t xml:space="preserve">wie sich Weiterverarbeiter auf die steigende Nachfrage nach </w:t>
      </w:r>
      <w:r>
        <w:rPr>
          <w:rFonts w:ascii="Noto Sans" w:eastAsia="Times New Roman" w:hAnsi="Noto Sans" w:cs="Noto Sans"/>
          <w:sz w:val="22"/>
          <w:lang w:val="de-DE"/>
        </w:rPr>
        <w:t xml:space="preserve">Etiketten und </w:t>
      </w:r>
      <w:r w:rsidRPr="00255F12">
        <w:rPr>
          <w:rFonts w:ascii="Noto Sans" w:eastAsia="Times New Roman" w:hAnsi="Noto Sans" w:cs="Noto Sans"/>
          <w:sz w:val="22"/>
          <w:lang w:val="de-DE"/>
        </w:rPr>
        <w:t>Verpackungen mit verifizierten, normgerechten 2D-Codes vorbereiten können.</w:t>
      </w:r>
    </w:p>
    <w:p w14:paraId="1B329344" w14:textId="77777777"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b/>
          <w:bCs/>
          <w:sz w:val="22"/>
          <w:lang w:val="de-DE"/>
        </w:rPr>
        <w:t>Die richtige Drucktechnologie auswählen</w:t>
      </w:r>
    </w:p>
    <w:p w14:paraId="7E486806" w14:textId="77777777"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sz w:val="22"/>
          <w:lang w:val="de-DE"/>
        </w:rPr>
        <w:t xml:space="preserve">GS1-basierte 2D-Codes sind multifunktionale Datenträger für Hersteller-, Preis- und Verbraucherinformationen. Entsprechend viel steht auf dem Spiel, wenn sie nicht korrekt umgesetzt werden. Fehlerhafte oder nicht lesbare Codes können das Vertrauen von Handel und Verbrauchern beeinträchtigen und sich negativ auf den Verpackungslieferanten auswirken. Deshalb sind die richtige Druck- und Verifikationstechnologie sowie geeignete Workflows entscheidend. </w:t>
      </w:r>
    </w:p>
    <w:p w14:paraId="3ACBA398" w14:textId="4355EA9A"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sz w:val="22"/>
          <w:lang w:val="de-DE"/>
        </w:rPr>
        <w:t xml:space="preserve">Ein wichtiger Faktor ist die Entscheidung einer Marke zwischen statischen und variablen QR-Codes sowie die benötigte Produktionsmenge. Statische Codes </w:t>
      </w:r>
      <w:hyperlink r:id="rId7" w:history="1">
        <w:r w:rsidRPr="00255F12">
          <w:rPr>
            <w:rFonts w:ascii="Noto Sans" w:eastAsia="Times New Roman" w:hAnsi="Noto Sans" w:cs="Noto Sans"/>
            <w:color w:val="0563C1" w:themeColor="hyperlink"/>
            <w:sz w:val="22"/>
            <w:u w:val="single"/>
            <w:lang w:val="de-DE"/>
          </w:rPr>
          <w:t>ersetzen im Wesentlichen einen GS1-EAN-13-Barcode</w:t>
        </w:r>
      </w:hyperlink>
      <w:r w:rsidRPr="00255F12">
        <w:rPr>
          <w:rFonts w:ascii="Noto Sans" w:eastAsia="Times New Roman" w:hAnsi="Noto Sans" w:cs="Noto Sans"/>
          <w:sz w:val="22"/>
          <w:lang w:val="de-DE"/>
        </w:rPr>
        <w:t xml:space="preserve"> </w:t>
      </w:r>
      <w:r>
        <w:rPr>
          <w:rFonts w:ascii="Noto Sans" w:eastAsia="Times New Roman" w:hAnsi="Noto Sans" w:cs="Noto Sans"/>
          <w:sz w:val="22"/>
          <w:lang w:val="de-DE"/>
        </w:rPr>
        <w:t>im Einzelhandel</w:t>
      </w:r>
      <w:r w:rsidRPr="00255F12">
        <w:rPr>
          <w:rFonts w:ascii="Noto Sans" w:eastAsia="Times New Roman" w:hAnsi="Noto Sans" w:cs="Noto Sans"/>
          <w:sz w:val="22"/>
          <w:lang w:val="de-DE"/>
        </w:rPr>
        <w:t xml:space="preserve"> und enthalten die Global Trade Item Number (GTIN) des Produkts sowie optional eine URL für das Scannen durch Verbraucher. Diese standardisierten Codes werden von der Marke als Bestandteil des Layouts bereitgestellt und lassen sich – sofern Auflösung und Qualitätsstandards erfüllt werden – sowohl analog als auch digital in hohen Auflagen drucken.</w:t>
      </w:r>
    </w:p>
    <w:p w14:paraId="314FC9F9" w14:textId="056544F0"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sz w:val="22"/>
          <w:lang w:val="de-DE"/>
        </w:rPr>
        <w:t xml:space="preserve">Variable und serialisierte 2D-Codes mit chargenbezogenen Informationen oder individuellen Kennungen, beispielsweise zum Schutz vor Produktfälschungen, bieten Marken zusätzlichen Mehrwert, sind jedoch komplexer in der Produktion. Für die Produktion in großem Maßstab ist ein Digitaldruck-Workflow mit variablen Daten erforderlich. Möglich sind beispielsweise digitale Etiketten- oder </w:t>
      </w:r>
      <w:hyperlink r:id="rId8" w:history="1">
        <w:r w:rsidRPr="00597A93">
          <w:rPr>
            <w:rStyle w:val="Hyperlink"/>
            <w:rFonts w:ascii="Noto Sans" w:eastAsia="Times New Roman" w:hAnsi="Noto Sans" w:cs="Noto Sans"/>
            <w:sz w:val="22"/>
            <w:lang w:val="de-DE"/>
          </w:rPr>
          <w:t>Wellpappendruckmaschinen</w:t>
        </w:r>
      </w:hyperlink>
      <w:r w:rsidRPr="00255F12">
        <w:rPr>
          <w:rFonts w:ascii="Noto Sans" w:eastAsia="Times New Roman" w:hAnsi="Noto Sans" w:cs="Noto Sans"/>
          <w:sz w:val="22"/>
          <w:lang w:val="de-DE"/>
        </w:rPr>
        <w:t xml:space="preserve">, die sowohl das Layout als auch die variablen Codes drucken, </w:t>
      </w:r>
      <w:hyperlink r:id="rId9" w:history="1">
        <w:r w:rsidRPr="00597A93">
          <w:rPr>
            <w:rStyle w:val="Hyperlink"/>
            <w:rFonts w:ascii="Noto Sans" w:eastAsia="Times New Roman" w:hAnsi="Noto Sans" w:cs="Noto Sans"/>
            <w:sz w:val="22"/>
            <w:lang w:val="de-DE"/>
          </w:rPr>
          <w:t xml:space="preserve">monochrome </w:t>
        </w:r>
        <w:proofErr w:type="spellStart"/>
        <w:r w:rsidRPr="00597A93">
          <w:rPr>
            <w:rStyle w:val="Hyperlink"/>
            <w:rFonts w:ascii="Noto Sans" w:eastAsia="Times New Roman" w:hAnsi="Noto Sans" w:cs="Noto Sans"/>
            <w:sz w:val="22"/>
            <w:lang w:val="de-DE"/>
          </w:rPr>
          <w:t>Inkjet</w:t>
        </w:r>
        <w:proofErr w:type="spellEnd"/>
        <w:r w:rsidRPr="00597A93">
          <w:rPr>
            <w:rStyle w:val="Hyperlink"/>
            <w:rFonts w:ascii="Noto Sans" w:eastAsia="Times New Roman" w:hAnsi="Noto Sans" w:cs="Noto Sans"/>
            <w:sz w:val="22"/>
            <w:lang w:val="de-DE"/>
          </w:rPr>
          <w:t>-Drucker</w:t>
        </w:r>
      </w:hyperlink>
      <w:r w:rsidRPr="00255F12">
        <w:rPr>
          <w:rFonts w:ascii="Noto Sans" w:eastAsia="Times New Roman" w:hAnsi="Noto Sans" w:cs="Noto Sans"/>
          <w:sz w:val="22"/>
          <w:lang w:val="de-DE"/>
        </w:rPr>
        <w:t xml:space="preserve"> zur Codierung innerhalb </w:t>
      </w:r>
      <w:hyperlink r:id="rId10" w:history="1">
        <w:r w:rsidRPr="00597A93">
          <w:rPr>
            <w:rStyle w:val="Hyperlink"/>
            <w:rFonts w:ascii="Noto Sans" w:eastAsia="Times New Roman" w:hAnsi="Noto Sans" w:cs="Noto Sans"/>
            <w:sz w:val="22"/>
            <w:lang w:val="de-DE"/>
          </w:rPr>
          <w:t>hybrider Produktionslinien</w:t>
        </w:r>
      </w:hyperlink>
      <w:r w:rsidRPr="00255F12">
        <w:rPr>
          <w:rFonts w:ascii="Noto Sans" w:eastAsia="Times New Roman" w:hAnsi="Noto Sans" w:cs="Noto Sans"/>
          <w:sz w:val="22"/>
          <w:lang w:val="de-DE"/>
        </w:rPr>
        <w:t xml:space="preserve"> oder die Offline-Personalisierung vorbedruckter Etiketten und Verpackungen in einem späten Produktionsschritt. </w:t>
      </w:r>
    </w:p>
    <w:p w14:paraId="5D04216F" w14:textId="57A565E7"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sz w:val="22"/>
          <w:lang w:val="de-DE"/>
        </w:rPr>
        <w:t xml:space="preserve">Marken verfolgen zudem unterschiedliche Ansätze bei der Generierung variabler 2D-Codes. Weiterverarbeiter müssen gegebenenfalls eine oder mehrere APIs von Drittanbietern lizenzieren, um Codes mit Datenbanken zu verknüpfen, die </w:t>
      </w:r>
      <w:hyperlink r:id="rId11" w:history="1">
        <w:r w:rsidRPr="00255F12">
          <w:rPr>
            <w:rFonts w:ascii="Noto Sans" w:eastAsia="Times New Roman" w:hAnsi="Noto Sans" w:cs="Noto Sans"/>
            <w:color w:val="0563C1" w:themeColor="hyperlink"/>
            <w:sz w:val="22"/>
            <w:u w:val="single"/>
            <w:lang w:val="de-DE"/>
          </w:rPr>
          <w:t>digitale Produktpässe</w:t>
        </w:r>
      </w:hyperlink>
      <w:r w:rsidRPr="00255F12">
        <w:rPr>
          <w:rFonts w:ascii="Noto Sans" w:eastAsia="Times New Roman" w:hAnsi="Noto Sans" w:cs="Noto Sans"/>
          <w:sz w:val="22"/>
          <w:lang w:val="de-DE"/>
        </w:rPr>
        <w:t xml:space="preserve"> mit Verbraucher-, Handels- und Lieferketteninformationen unterstützen. Für die Einrichtung sicherer Verbindungen und Datenübertragungsprotokolle ist eine enge Zusammenarbeit mit API-Anbietern und Anbietern von Druck-Workflows erforderlich, damit eindeutige Codes automatisch zugewiesen werden können. </w:t>
      </w:r>
    </w:p>
    <w:p w14:paraId="02838036" w14:textId="77777777" w:rsidR="00255F12" w:rsidRPr="00255F12" w:rsidRDefault="00255F12" w:rsidP="00255F12">
      <w:pPr>
        <w:spacing w:before="120" w:after="240" w:line="240" w:lineRule="auto"/>
        <w:rPr>
          <w:rFonts w:ascii="Noto Sans" w:eastAsia="Times New Roman" w:hAnsi="Noto Sans" w:cs="Noto Sans"/>
          <w:sz w:val="22"/>
          <w:lang w:val="de-DE"/>
        </w:rPr>
      </w:pPr>
      <w:r w:rsidRPr="00255F12">
        <w:rPr>
          <w:rFonts w:ascii="Noto Sans" w:eastAsia="Times New Roman" w:hAnsi="Noto Sans" w:cs="Noto Sans"/>
          <w:sz w:val="22"/>
          <w:lang w:val="de-DE"/>
        </w:rPr>
        <w:lastRenderedPageBreak/>
        <w:t>Die Serialisierung kann außerdem eine Just-in-Time-Abstimmung zwischen der Produktion des Kunden und der Etikettenfertigung erfordern, um Ausschuss oder Rückrufe zu vermeiden. Ebenso müssen Prozesse zur Verwaltung von Ausschuss eingerichtet werden.</w:t>
      </w:r>
    </w:p>
    <w:p w14:paraId="09DA45C7" w14:textId="77777777"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b/>
          <w:bCs/>
          <w:sz w:val="22"/>
          <w:lang w:val="de-DE"/>
        </w:rPr>
        <w:t xml:space="preserve">Hohe Scanqualität von QR-Codes sicherstellen </w:t>
      </w:r>
    </w:p>
    <w:p w14:paraId="15B39294" w14:textId="32004A91"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sz w:val="22"/>
          <w:lang w:val="de-DE"/>
        </w:rPr>
        <w:t xml:space="preserve">Druckqualität, Klarheit und Kontrast sind entscheidend für das zuverlässige Scannen von </w:t>
      </w:r>
      <w:hyperlink r:id="rId12" w:history="1">
        <w:r w:rsidRPr="00255F12">
          <w:rPr>
            <w:rFonts w:ascii="Noto Sans" w:eastAsia="Times New Roman" w:hAnsi="Noto Sans" w:cs="Noto Sans"/>
            <w:color w:val="0000EE"/>
            <w:sz w:val="22"/>
            <w:u w:val="single"/>
            <w:lang w:val="de-DE"/>
          </w:rPr>
          <w:t xml:space="preserve">GS1 QR- oder </w:t>
        </w:r>
        <w:proofErr w:type="spellStart"/>
        <w:r w:rsidRPr="00255F12">
          <w:rPr>
            <w:rFonts w:ascii="Noto Sans" w:eastAsia="Times New Roman" w:hAnsi="Noto Sans" w:cs="Noto Sans"/>
            <w:color w:val="0000EE"/>
            <w:sz w:val="22"/>
            <w:u w:val="single"/>
            <w:lang w:val="de-DE"/>
          </w:rPr>
          <w:t>DataMatrix</w:t>
        </w:r>
        <w:proofErr w:type="spellEnd"/>
        <w:r w:rsidRPr="00255F12">
          <w:rPr>
            <w:rFonts w:ascii="Noto Sans" w:eastAsia="Times New Roman" w:hAnsi="Noto Sans" w:cs="Noto Sans"/>
            <w:color w:val="0000EE"/>
            <w:sz w:val="22"/>
            <w:u w:val="single"/>
            <w:lang w:val="de-DE"/>
          </w:rPr>
          <w:t>-Codes</w:t>
        </w:r>
      </w:hyperlink>
      <w:r w:rsidRPr="00255F12">
        <w:rPr>
          <w:rFonts w:ascii="Noto Sans" w:eastAsia="Times New Roman" w:hAnsi="Noto Sans" w:cs="Noto Sans"/>
          <w:sz w:val="22"/>
          <w:lang w:val="de-DE"/>
        </w:rPr>
        <w:t xml:space="preserve"> unter realen Bedingungen. Zu den möglichen Herausforderungen zählen Punktzuwachs und Tintenverlauf auf dem Substrat bei Flexo- und digitalen </w:t>
      </w:r>
      <w:proofErr w:type="spellStart"/>
      <w:r w:rsidRPr="00255F12">
        <w:rPr>
          <w:rFonts w:ascii="Noto Sans" w:eastAsia="Times New Roman" w:hAnsi="Noto Sans" w:cs="Noto Sans"/>
          <w:sz w:val="22"/>
          <w:lang w:val="de-DE"/>
        </w:rPr>
        <w:t>Inkjet</w:t>
      </w:r>
      <w:proofErr w:type="spellEnd"/>
      <w:r w:rsidRPr="00255F12">
        <w:rPr>
          <w:rFonts w:ascii="Noto Sans" w:eastAsia="Times New Roman" w:hAnsi="Noto Sans" w:cs="Noto Sans"/>
          <w:sz w:val="22"/>
          <w:lang w:val="de-DE"/>
        </w:rPr>
        <w:t>-Verfahren sowie eine unzureichende Haftung, Trocknung oder Aushärtung der Tinte. Das kann die Haltbarkeit der Codes beeinträchtigen.</w:t>
      </w:r>
    </w:p>
    <w:p w14:paraId="250AF37A" w14:textId="77777777" w:rsidR="00255F12" w:rsidRPr="00255F12" w:rsidRDefault="00255F12" w:rsidP="00255F12">
      <w:pPr>
        <w:spacing w:before="120" w:after="240" w:line="240" w:lineRule="auto"/>
        <w:rPr>
          <w:rFonts w:ascii="Noto Sans" w:eastAsia="Times New Roman" w:hAnsi="Noto Sans" w:cs="Noto Sans"/>
          <w:sz w:val="22"/>
          <w:lang w:val="de-DE"/>
        </w:rPr>
      </w:pPr>
      <w:r w:rsidRPr="00255F12">
        <w:rPr>
          <w:rFonts w:ascii="Noto Sans" w:eastAsia="Times New Roman" w:hAnsi="Noto Sans" w:cs="Noto Sans"/>
          <w:sz w:val="22"/>
          <w:lang w:val="de-DE"/>
        </w:rPr>
        <w:t xml:space="preserve">Auch Farbe und Oberflächenbeschaffenheit des Substrats beeinflussen die Lesbarkeit von 2D-Codes. </w:t>
      </w:r>
      <w:hyperlink r:id="rId13" w:history="1">
        <w:r w:rsidRPr="00255F12">
          <w:rPr>
            <w:rFonts w:ascii="Noto Sans" w:eastAsia="Times New Roman" w:hAnsi="Noto Sans" w:cs="Noto Sans"/>
            <w:color w:val="0000EE"/>
            <w:sz w:val="22"/>
            <w:u w:val="single"/>
            <w:lang w:val="de-DE"/>
          </w:rPr>
          <w:t>Glänzende oder reflektierende Substrate</w:t>
        </w:r>
      </w:hyperlink>
      <w:r w:rsidRPr="00255F12">
        <w:rPr>
          <w:rFonts w:ascii="Noto Sans" w:eastAsia="Times New Roman" w:hAnsi="Noto Sans" w:cs="Noto Sans"/>
          <w:sz w:val="22"/>
          <w:lang w:val="de-DE"/>
        </w:rPr>
        <w:t xml:space="preserve"> können Spiegelungen verursachen, während farbige Hintergründe den Kontrast verringern und das zuverlässige Lesen der Codes verhindern können.</w:t>
      </w:r>
    </w:p>
    <w:p w14:paraId="302B50FF" w14:textId="0C6C56B1"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sz w:val="22"/>
          <w:lang w:val="de-DE"/>
        </w:rPr>
        <w:t xml:space="preserve">Um Probleme </w:t>
      </w:r>
      <w:r w:rsidR="008F54B8">
        <w:rPr>
          <w:rFonts w:ascii="Noto Sans" w:eastAsia="Times New Roman" w:hAnsi="Noto Sans" w:cs="Noto Sans"/>
          <w:sz w:val="22"/>
          <w:lang w:val="de-DE"/>
        </w:rPr>
        <w:t>an der Kasse</w:t>
      </w:r>
      <w:r w:rsidRPr="00255F12">
        <w:rPr>
          <w:rFonts w:ascii="Noto Sans" w:eastAsia="Times New Roman" w:hAnsi="Noto Sans" w:cs="Noto Sans"/>
          <w:sz w:val="22"/>
          <w:lang w:val="de-DE"/>
        </w:rPr>
        <w:t xml:space="preserve"> zu vermeiden, sollten Weiterverarbeiter QR-Codes bereits während des Druckprozesses verifizieren, um potenzielle Lesbarkeitsprobleme frühzeitig zu erkennen. Bestehende Vision-Systeme können zwar die Druckqualität überwachen, doch für eine konsistente Scanleistung unabhängig von Lichtverhältnissen, Erfassungsabstand und Geschwindigkeit in </w:t>
      </w:r>
      <w:r w:rsidR="008F54B8">
        <w:rPr>
          <w:rFonts w:ascii="Noto Sans" w:eastAsia="Times New Roman" w:hAnsi="Noto Sans" w:cs="Noto Sans"/>
          <w:sz w:val="22"/>
          <w:lang w:val="de-DE"/>
        </w:rPr>
        <w:t>Einzelhandels</w:t>
      </w:r>
      <w:r w:rsidRPr="00255F12">
        <w:rPr>
          <w:rFonts w:ascii="Noto Sans" w:eastAsia="Times New Roman" w:hAnsi="Noto Sans" w:cs="Noto Sans"/>
          <w:sz w:val="22"/>
          <w:lang w:val="de-DE"/>
        </w:rPr>
        <w:t xml:space="preserve">-, Lieferketten- und Verbraucherumgebungen ist anspruchsvollere Technologie erforderlich. </w:t>
      </w:r>
    </w:p>
    <w:p w14:paraId="08CF1547" w14:textId="343487DC"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sz w:val="22"/>
          <w:lang w:val="de-DE"/>
        </w:rPr>
        <w:t xml:space="preserve">Durch die Bewertung der Code-Qualität identifizieren Verifikationssysteme mangelhafte Codes und stellen sicher, dass Codes über verschiedene Scan-Technologien hinweg zuverlässig gelesen werden können. Zwar verfügen Vision-Systeme ebenfalls über Funktionen zur Codeverifikation oder lassen sich entsprechend aufrüsten, dennoch müssen manche Weiterverarbeiter auf ein neues Vision-System oder eine neue Kameratechnologie umsteigen. Eine frühzeitige Prüfung der Kompatibilität mit vorhandenen Drucksystemen und Workflows, der Unterstützung relevanter Verifikationsstandards, der Integrationsmöglichkeiten seitens der Anbieter sowie der Benutzerfreundlichkeit und möglicher Schulungsanforderungen maximiert </w:t>
      </w:r>
      <w:r w:rsidR="008F54B8">
        <w:rPr>
          <w:rFonts w:ascii="Noto Sans" w:eastAsia="Times New Roman" w:hAnsi="Noto Sans" w:cs="Noto Sans"/>
          <w:sz w:val="22"/>
          <w:lang w:val="de-DE"/>
        </w:rPr>
        <w:t>die Investitionsrendite.</w:t>
      </w:r>
      <w:r w:rsidRPr="00255F12">
        <w:rPr>
          <w:rFonts w:ascii="Noto Sans" w:eastAsia="Times New Roman" w:hAnsi="Noto Sans" w:cs="Noto Sans"/>
          <w:sz w:val="22"/>
          <w:lang w:val="de-DE"/>
        </w:rPr>
        <w:t xml:space="preserve"> </w:t>
      </w:r>
    </w:p>
    <w:p w14:paraId="0B6FFD54" w14:textId="77777777"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b/>
          <w:bCs/>
          <w:sz w:val="22"/>
          <w:lang w:val="de-DE"/>
        </w:rPr>
        <w:t>Einhaltung von Qualitätsstandards sicherstellen</w:t>
      </w:r>
    </w:p>
    <w:p w14:paraId="62564802" w14:textId="77777777"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sz w:val="22"/>
          <w:lang w:val="de-DE"/>
        </w:rPr>
        <w:t xml:space="preserve">Im Gegensatz zu nicht regulierten Kampagnen-QR-Codes müssen GS1 QR- und </w:t>
      </w:r>
      <w:proofErr w:type="spellStart"/>
      <w:r w:rsidRPr="00255F12">
        <w:rPr>
          <w:rFonts w:ascii="Noto Sans" w:eastAsia="Times New Roman" w:hAnsi="Noto Sans" w:cs="Noto Sans"/>
          <w:sz w:val="22"/>
          <w:lang w:val="de-DE"/>
        </w:rPr>
        <w:t>DataMatrix</w:t>
      </w:r>
      <w:proofErr w:type="spellEnd"/>
      <w:r w:rsidRPr="00255F12">
        <w:rPr>
          <w:rFonts w:ascii="Noto Sans" w:eastAsia="Times New Roman" w:hAnsi="Noto Sans" w:cs="Noto Sans"/>
          <w:sz w:val="22"/>
          <w:lang w:val="de-DE"/>
        </w:rPr>
        <w:t xml:space="preserve">-Codes einen </w:t>
      </w:r>
      <w:hyperlink r:id="rId14" w:history="1">
        <w:r w:rsidRPr="00255F12">
          <w:rPr>
            <w:rFonts w:ascii="Noto Sans" w:eastAsia="Times New Roman" w:hAnsi="Noto Sans" w:cs="Noto Sans"/>
            <w:color w:val="0000EE"/>
            <w:sz w:val="22"/>
            <w:u w:val="single"/>
            <w:lang w:val="de-DE"/>
          </w:rPr>
          <w:t>Mindestdruckqualitätsgrad von 1,5 gemäß ISO/IEC 15415:2024</w:t>
        </w:r>
      </w:hyperlink>
      <w:r w:rsidRPr="00255F12">
        <w:rPr>
          <w:rFonts w:ascii="Noto Sans" w:eastAsia="Times New Roman" w:hAnsi="Noto Sans" w:cs="Noto Sans"/>
          <w:sz w:val="22"/>
          <w:lang w:val="de-DE"/>
        </w:rPr>
        <w:t xml:space="preserve"> erreichen. Dieser internationale Standard zur Bewertung der Genauigkeit und Lesbarkeit gedruckter 2D-Codes trägt dazu bei, hohe Leseraten an den Kassen im Einzelhandel sicherzustellen. Durch Qualitätsprotokolle, Verifikationsberichte und Prüfmuster zur Unterstützung von Audits und regulatorischen Anforderungen können </w:t>
      </w:r>
      <w:r w:rsidRPr="00255F12">
        <w:rPr>
          <w:rFonts w:ascii="Noto Sans" w:eastAsia="Times New Roman" w:hAnsi="Noto Sans" w:cs="Noto Sans"/>
          <w:sz w:val="22"/>
          <w:lang w:val="de-DE"/>
        </w:rPr>
        <w:lastRenderedPageBreak/>
        <w:t xml:space="preserve">Weiterverarbeiter die Einhaltung dieser Standards nachweisen, Vertrauen schaffen und Marken zusätzliche Sicherheit geben.  </w:t>
      </w:r>
    </w:p>
    <w:p w14:paraId="231557AC" w14:textId="77777777"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sz w:val="22"/>
          <w:lang w:val="de-DE"/>
        </w:rPr>
        <w:t>Darüber hinaus müssen Weiterverarbeiter eng mit Marken zusammenarbeiten, um die Parameter und vertraglichen Verantwortlichkeiten für ihren Einsatz von 2D-Codes festzulegen. Dazu gehören beispielsweise die Klärung der Verantwortlichkeiten für die Codegenerierung, die Haftung bei Duplikaten oder Fehlern sowie die Definition von Audit- und Verifikationsprozessen. Offene und kontinuierliche Kommunikation hilft dabei, Anforderungen frühzeitig abzustimmen und Herausforderungen rechtzeitig zu erkennen.</w:t>
      </w:r>
    </w:p>
    <w:p w14:paraId="04D122AD" w14:textId="77777777"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b/>
          <w:bCs/>
          <w:sz w:val="22"/>
          <w:lang w:val="de-DE"/>
        </w:rPr>
        <w:t>Kommunikation als Erfolgsfaktor</w:t>
      </w:r>
    </w:p>
    <w:p w14:paraId="662BFB5F" w14:textId="77777777"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sz w:val="22"/>
          <w:lang w:val="de-DE"/>
        </w:rPr>
        <w:t xml:space="preserve">Da Marken ihre Strategien rund um 2D-Codes zunehmend vorantreiben, wird die Kommunikation zwischen Weiterverarbeitern und Marken immer wichtiger, um Verantwortlichkeiten klar zu definieren und potenzielle Probleme frühzeitig zu vermeiden. Wenn Weiterverarbeiter die Anwendungen und Zukunftspläne ihrer Markenkunden frühzeitig verstehen, können sie gezielt in die erforderlichen Technologien investieren. </w:t>
      </w:r>
    </w:p>
    <w:p w14:paraId="40575204" w14:textId="4DA643CD" w:rsidR="00255F12" w:rsidRPr="00255F12" w:rsidRDefault="00255F12" w:rsidP="00255F12">
      <w:pPr>
        <w:spacing w:before="120" w:after="120" w:line="240" w:lineRule="auto"/>
        <w:rPr>
          <w:rFonts w:ascii="Noto Sans" w:eastAsia="Times New Roman" w:hAnsi="Noto Sans" w:cs="Noto Sans"/>
          <w:sz w:val="22"/>
          <w:lang w:val="de-DE"/>
        </w:rPr>
      </w:pPr>
      <w:r w:rsidRPr="00255F12">
        <w:rPr>
          <w:rFonts w:ascii="Noto Sans" w:eastAsia="Times New Roman" w:hAnsi="Noto Sans" w:cs="Noto Sans"/>
          <w:sz w:val="22"/>
          <w:lang w:val="de-DE"/>
        </w:rPr>
        <w:t xml:space="preserve">Wer jetzt handelt und mit einem Anbieter für Digitaldruck zusammenarbeitet, der </w:t>
      </w:r>
      <w:hyperlink r:id="rId15" w:history="1">
        <w:r w:rsidRPr="00255F12">
          <w:rPr>
            <w:rFonts w:ascii="Noto Sans" w:eastAsia="Times New Roman" w:hAnsi="Noto Sans" w:cs="Noto Sans"/>
            <w:color w:val="0563C1" w:themeColor="hyperlink"/>
            <w:sz w:val="22"/>
            <w:u w:val="single"/>
            <w:lang w:val="de-DE"/>
          </w:rPr>
          <w:t>Experte für fortschrittlichen variablen Datendruck</w:t>
        </w:r>
      </w:hyperlink>
      <w:r w:rsidRPr="00255F12">
        <w:rPr>
          <w:rFonts w:ascii="Noto Sans" w:eastAsia="Times New Roman" w:hAnsi="Noto Sans" w:cs="Noto Sans"/>
          <w:sz w:val="22"/>
          <w:lang w:val="de-DE"/>
        </w:rPr>
        <w:t xml:space="preserve"> ist und neue Verpackungsvorschriften genau im Blick hat, positioniert sich als starker Partner und Berater, dem Marken bei der erfolgreichen Umstellung auf 2D-Codes vertrauen.</w:t>
      </w:r>
    </w:p>
    <w:p w14:paraId="02440ADA" w14:textId="77777777" w:rsidR="001F4A67" w:rsidRDefault="001F4A67" w:rsidP="00B15DBB">
      <w:pPr>
        <w:spacing w:line="240" w:lineRule="auto"/>
        <w:rPr>
          <w:rFonts w:ascii="Noto Sans" w:eastAsia="Gill Sans" w:hAnsi="Noto Sans" w:cs="Noto Sans"/>
          <w:b/>
          <w:szCs w:val="18"/>
          <w:lang w:val="de-DE"/>
        </w:rPr>
      </w:pPr>
      <w:r w:rsidRPr="001F4A67">
        <w:rPr>
          <w:rFonts w:ascii="Noto Sans" w:hAnsi="Noto Sans" w:cs="Noto Sans"/>
          <w:szCs w:val="18"/>
          <w:lang w:val="de-DE"/>
        </w:rPr>
        <w:br/>
      </w:r>
      <w:r w:rsidRPr="001F4A67">
        <w:rPr>
          <w:rFonts w:ascii="Noto Sans" w:eastAsia="Gill Sans" w:hAnsi="Noto Sans" w:cs="Noto Sans"/>
          <w:b/>
          <w:szCs w:val="18"/>
          <w:lang w:val="de-DE"/>
        </w:rPr>
        <w:t>———</w:t>
      </w:r>
    </w:p>
    <w:p w14:paraId="07610805" w14:textId="2AFDD542" w:rsidR="005524DB" w:rsidRPr="00494047" w:rsidRDefault="001F4A67" w:rsidP="00B15DBB">
      <w:pPr>
        <w:spacing w:line="240" w:lineRule="auto"/>
        <w:rPr>
          <w:rFonts w:ascii="Noto Sans" w:hAnsi="Noto Sans" w:cs="Noto Sans"/>
          <w:sz w:val="20"/>
          <w:szCs w:val="20"/>
          <w:lang w:val="de-DE"/>
        </w:rPr>
      </w:pPr>
      <w:r>
        <w:rPr>
          <w:rFonts w:ascii="Noto Sans" w:eastAsia="Gill Sans" w:hAnsi="Noto Sans" w:cs="Noto Sans"/>
          <w:b/>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Tinten</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Die in diesem Dokument enthaltenen Informationen sind nicht als Ersatz für geeignete Tests für Ihre spezifische Nutzung und Umstände gedacht. Weder Domino UK Limited noch eines der Unternehmen der Domino-Gruppe haftet in irgendeiner Weise für das Vertrauen, das Sie in dieses Dokument hinsichtlich der Eignung einer bestimmten Tinte für Ihre Anwendung setzen. Dieses Dokument ist kein Bestandteil der allgemeinen Geschäftsbedingungen zwischen Ihnen und Domino, rechtliche Haftungsausschlüsse v.1.0 Februar 2018 und die Allgemeinen Geschäftsbedingungen von Domino gelten für jeden Kauf von Produkten durch Sie.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lastRenderedPageBreak/>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
          <w:szCs w:val="18"/>
          <w:lang w:val="de-DE"/>
        </w:rPr>
        <w:br/>
      </w:r>
      <w:r w:rsidR="00CF6D5D" w:rsidRPr="00CF6D5D">
        <w:rPr>
          <w:rFonts w:ascii="Noto Sans" w:eastAsia="Gill Sans" w:hAnsi="Noto Sans" w:cs="Noto Sans"/>
          <w:b/>
          <w:szCs w:val="18"/>
          <w:lang w:val="de-DE"/>
        </w:rPr>
        <w:t>Videos</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Dieses Video dient nur zur Veranschaulichung und kann optionale Extras enthalten. Leistungszahlen wurden unter spezifischen Bedingungen erlangt; die individuelle Leistung kann variieren. Fehler und Ausfallzeiten an Produktionslinien können unvermeidbar sein. Nichts in diesem Video ist Bestandteil eines Vertrags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1"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w:t>
      </w:r>
      <w:proofErr w:type="spellStart"/>
      <w:r w:rsidR="00240801" w:rsidRPr="001F4A67">
        <w:rPr>
          <w:rFonts w:ascii="Noto Sans" w:hAnsi="Noto Sans" w:cs="Noto Sans"/>
          <w:szCs w:val="18"/>
          <w:lang w:val="de-DE"/>
        </w:rPr>
        <w:t>Copywriter</w:t>
      </w:r>
      <w:proofErr w:type="spellEnd"/>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16"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1"/>
      <w:r w:rsidR="00240801" w:rsidRPr="001F4A67">
        <w:rPr>
          <w:rFonts w:ascii="Noto Sans" w:hAnsi="Noto Sans" w:cs="Noto Sans"/>
          <w:szCs w:val="18"/>
          <w:lang w:val="de-DE"/>
        </w:rPr>
        <w:br/>
      </w:r>
      <w:r w:rsidR="00494047" w:rsidRPr="00494047">
        <w:rPr>
          <w:rFonts w:ascii="Noto Sans" w:hAnsi="Noto Sans" w:cs="Noto Sans"/>
          <w:szCs w:val="18"/>
          <w:lang w:val="de-DE"/>
        </w:rPr>
        <w:t xml:space="preserve">Jade Taylor-Salazar </w:t>
      </w:r>
      <w:r w:rsidR="00494047" w:rsidRPr="00494047">
        <w:rPr>
          <w:rFonts w:ascii="Noto Sans" w:hAnsi="Noto Sans" w:cs="Noto Sans"/>
          <w:szCs w:val="18"/>
          <w:lang w:val="de-DE"/>
        </w:rPr>
        <w:br/>
        <w:t xml:space="preserve">PR and Content Manager </w:t>
      </w:r>
      <w:r w:rsidR="00494047" w:rsidRPr="00494047">
        <w:rPr>
          <w:rFonts w:ascii="Noto Sans" w:hAnsi="Noto Sans" w:cs="Noto Sans"/>
          <w:szCs w:val="18"/>
          <w:lang w:val="de-DE"/>
        </w:rPr>
        <w:br/>
        <w:t xml:space="preserve">Domino Printing Sciences </w:t>
      </w:r>
      <w:r w:rsidR="00494047" w:rsidRPr="00494047">
        <w:rPr>
          <w:rFonts w:ascii="Noto Sans" w:hAnsi="Noto Sans" w:cs="Noto Sans"/>
          <w:szCs w:val="18"/>
          <w:lang w:val="de-DE"/>
        </w:rPr>
        <w:br/>
        <w:t>Tel: +44 (0) 1954 778780</w:t>
      </w:r>
      <w:r w:rsidR="00494047" w:rsidRPr="00494047">
        <w:rPr>
          <w:rFonts w:ascii="Noto Sans" w:hAnsi="Noto Sans" w:cs="Noto Sans"/>
          <w:szCs w:val="18"/>
          <w:lang w:val="de-DE"/>
        </w:rPr>
        <w:br/>
      </w:r>
      <w:hyperlink r:id="rId17" w:history="1">
        <w:r w:rsidR="00494047" w:rsidRPr="00494047">
          <w:rPr>
            <w:rStyle w:val="Hyperlink"/>
            <w:rFonts w:ascii="Noto Sans" w:hAnsi="Noto Sans" w:cs="Noto Sans"/>
            <w:szCs w:val="18"/>
            <w:lang w:val="de-DE"/>
          </w:rPr>
          <w:t>Jade.Taylor-Salazar@domino-uk.com</w:t>
        </w:r>
      </w:hyperlink>
      <w:r w:rsidR="00F67E02" w:rsidRPr="001F4A67">
        <w:rPr>
          <w:rFonts w:ascii="Noto Sans" w:hAnsi="Noto Sans" w:cs="Noto Sans"/>
          <w:szCs w:val="18"/>
          <w:lang w:val="de-DE"/>
        </w:rPr>
        <w:br/>
      </w:r>
    </w:p>
    <w:sectPr w:rsidR="005524DB" w:rsidRPr="00494047" w:rsidSect="000F6D0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D9B4" w14:textId="77777777" w:rsidR="002440B7" w:rsidRDefault="002440B7" w:rsidP="00785717">
      <w:pPr>
        <w:spacing w:line="240" w:lineRule="auto"/>
      </w:pPr>
      <w:r>
        <w:separator/>
      </w:r>
    </w:p>
  </w:endnote>
  <w:endnote w:type="continuationSeparator" w:id="0">
    <w:p w14:paraId="236739D8" w14:textId="77777777" w:rsidR="002440B7" w:rsidRDefault="002440B7"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23A4" w14:textId="77777777" w:rsidR="002440B7" w:rsidRDefault="002440B7" w:rsidP="00785717">
      <w:pPr>
        <w:spacing w:line="240" w:lineRule="auto"/>
      </w:pPr>
      <w:r>
        <w:separator/>
      </w:r>
    </w:p>
  </w:footnote>
  <w:footnote w:type="continuationSeparator" w:id="0">
    <w:p w14:paraId="29A5564E" w14:textId="77777777" w:rsidR="002440B7" w:rsidRDefault="002440B7"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26728"/>
    <w:rsid w:val="00085561"/>
    <w:rsid w:val="000F6D00"/>
    <w:rsid w:val="001353EB"/>
    <w:rsid w:val="001B2E94"/>
    <w:rsid w:val="001D743C"/>
    <w:rsid w:val="001F4A67"/>
    <w:rsid w:val="002202E3"/>
    <w:rsid w:val="00222312"/>
    <w:rsid w:val="00240801"/>
    <w:rsid w:val="00242C75"/>
    <w:rsid w:val="002440B7"/>
    <w:rsid w:val="00255F12"/>
    <w:rsid w:val="002766D9"/>
    <w:rsid w:val="003038EA"/>
    <w:rsid w:val="00372E92"/>
    <w:rsid w:val="003810AA"/>
    <w:rsid w:val="003E7580"/>
    <w:rsid w:val="004219F2"/>
    <w:rsid w:val="004323B0"/>
    <w:rsid w:val="00494047"/>
    <w:rsid w:val="005272B1"/>
    <w:rsid w:val="005524DB"/>
    <w:rsid w:val="005741C7"/>
    <w:rsid w:val="00597A93"/>
    <w:rsid w:val="005E6C45"/>
    <w:rsid w:val="00647055"/>
    <w:rsid w:val="00660F46"/>
    <w:rsid w:val="00774DE8"/>
    <w:rsid w:val="00785717"/>
    <w:rsid w:val="00791A4F"/>
    <w:rsid w:val="00810161"/>
    <w:rsid w:val="008220B7"/>
    <w:rsid w:val="00823B77"/>
    <w:rsid w:val="008916A8"/>
    <w:rsid w:val="008B6461"/>
    <w:rsid w:val="008E5E0C"/>
    <w:rsid w:val="008F3E38"/>
    <w:rsid w:val="008F54B8"/>
    <w:rsid w:val="00931996"/>
    <w:rsid w:val="009A1716"/>
    <w:rsid w:val="009A1DEC"/>
    <w:rsid w:val="009D6280"/>
    <w:rsid w:val="009E5D98"/>
    <w:rsid w:val="00A34918"/>
    <w:rsid w:val="00AB11DA"/>
    <w:rsid w:val="00AB3368"/>
    <w:rsid w:val="00AC1D0A"/>
    <w:rsid w:val="00B15DBB"/>
    <w:rsid w:val="00B23C3C"/>
    <w:rsid w:val="00B546C5"/>
    <w:rsid w:val="00B7088D"/>
    <w:rsid w:val="00BC7C15"/>
    <w:rsid w:val="00BE792F"/>
    <w:rsid w:val="00C063FE"/>
    <w:rsid w:val="00C44603"/>
    <w:rsid w:val="00C541FE"/>
    <w:rsid w:val="00CF1AD5"/>
    <w:rsid w:val="00CF6D5D"/>
    <w:rsid w:val="00DE1F9A"/>
    <w:rsid w:val="00E03029"/>
    <w:rsid w:val="00E34DD8"/>
    <w:rsid w:val="00E81F8D"/>
    <w:rsid w:val="00EC1C5A"/>
    <w:rsid w:val="00EE6083"/>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3A45"/>
  <w15:chartTrackingRefBased/>
  <w15:docId w15:val="{04362A94-F939-4BD8-B180-69AA3E1C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de-de/products/x-series?utm_medium=non-paid&amp;utm_source=onlinepublication&amp;utm_content=pr-dp-2D-code-soundbite&amp;utm_campaign=2026-int-de-Global-PR-DP-FY26-Q1" TargetMode="External"/><Relationship Id="rId13" Type="http://schemas.openxmlformats.org/officeDocument/2006/relationships/hyperlink" Target="https://ref.gs1.org/docs/2025/GS1-2D-colour-guide-i10-f-25-02-10"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gs1.org/industries/retail/2D-barcodes" TargetMode="External"/><Relationship Id="rId12" Type="http://schemas.openxmlformats.org/officeDocument/2006/relationships/hyperlink" Target="https://www.domino-printing.com/de-de/blog/2023/the-difference-between-a-data-matrix-code-and-a-qr-code?utm_medium=non-paid&amp;utm_source=onlinepublication&amp;utm_content=pr-dp-2D-code-soundbite&amp;utm_campaign=2026-int-de-Global-PR-DP-FY26-Q1" TargetMode="External"/><Relationship Id="rId17" Type="http://schemas.openxmlformats.org/officeDocument/2006/relationships/hyperlink" Target="mailto:Jade.Taylor-Salazar@domino-uk.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Kathrin.Farr@domino-uk.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domino-printing.com/en/blog/2024/gs1-2d-code-sunrise-digital-qr-code-printing?nodirect=true&amp;utm_medium=non-paid&amp;utm_source=onlinepublication&amp;utm_content=pr-dp-2D-code-soundbite&amp;utm_campaign=2026-int-de-Global-PR-DP-FY26-Q1" TargetMode="External"/><Relationship Id="rId11" Type="http://schemas.openxmlformats.org/officeDocument/2006/relationships/hyperlink" Target="https://www.domino-printing.com/en/blog/2023/the-future-of-traceability-get-ready-for-the-digital-product-passport?noredirect=true&amp;utm_medium=non-paid&amp;utm_source=onlinepublication&amp;utm_content=pr-dp-2D-code-soundbite&amp;utm_campaign=2026-int-de-Global-PR-DP-FY26-Q1"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domino-printing.com/de/home.aspx?utm_medium=non-paid&amp;utm_source=onlinepublication&amp;utm_content=pr-dp-2D-code-soundbite&amp;utm_campaign=2026-int-de-Global-PR-DP-FY26-Q1" TargetMode="External"/><Relationship Id="rId23" Type="http://schemas.openxmlformats.org/officeDocument/2006/relationships/footer" Target="footer3.xml"/><Relationship Id="rId10" Type="http://schemas.openxmlformats.org/officeDocument/2006/relationships/hyperlink" Target="https://www.domino-printing.com/de-de/products/digital-hybrid-printing-systems?utm_medium=non-paid&amp;utm_source=onlinepublication&amp;utm_content=pr-dp-2D-code-soundbite&amp;utm_campaign=2026-int-de-Global-PR-DP-FY26-Q1"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domino-printing.com/de-de/products/k-series?utm_medium=non-paid&amp;utm_source=onlinepublication&amp;utm_content=pr-dp-2D-code-soundbite&amp;utm_campaign=2026-int-de-Global-PR-DP-FY26-Q1" TargetMode="External"/><Relationship Id="rId14" Type="http://schemas.openxmlformats.org/officeDocument/2006/relationships/hyperlink" Target="https://ref.gs1.org/docs/2025/GS1-2D-colour-guide-i10-f-25-02-10"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2026-05-28T09:33:00Z</dcterms:created>
  <dcterms:modified xsi:type="dcterms:W3CDTF">2026-06-01T12:51:00Z</dcterms:modified>
</cp:coreProperties>
</file>