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6974" w14:textId="77777777" w:rsidR="00866264" w:rsidRPr="00D44C9A" w:rsidRDefault="00D663F4" w:rsidP="003C76D3">
      <w:pPr>
        <w:spacing w:after="0" w:line="240" w:lineRule="auto"/>
        <w:ind w:left="284" w:right="282"/>
        <w:jc w:val="center"/>
        <w:rPr>
          <w:b/>
          <w:bCs/>
          <w:sz w:val="32"/>
          <w:szCs w:val="32"/>
        </w:rPr>
      </w:pPr>
      <w:r w:rsidRPr="00D44C9A">
        <w:rPr>
          <w:b/>
          <w:bCs/>
          <w:sz w:val="32"/>
          <w:szCs w:val="32"/>
        </w:rPr>
        <w:t xml:space="preserve">NTT DATA identifica eficiência operacional e IA como principais motores da inovação tecnológica </w:t>
      </w:r>
    </w:p>
    <w:p w14:paraId="3F26E422" w14:textId="2D8881F0" w:rsidR="00A37D00" w:rsidRPr="00D44C9A" w:rsidRDefault="00D663F4" w:rsidP="00D44C9A">
      <w:pPr>
        <w:spacing w:after="0" w:line="240" w:lineRule="auto"/>
        <w:ind w:left="284" w:right="282"/>
        <w:jc w:val="center"/>
        <w:rPr>
          <w:b/>
          <w:bCs/>
          <w:sz w:val="32"/>
          <w:szCs w:val="32"/>
        </w:rPr>
      </w:pPr>
      <w:r w:rsidRPr="00D44C9A">
        <w:rPr>
          <w:b/>
          <w:bCs/>
          <w:sz w:val="32"/>
          <w:szCs w:val="32"/>
        </w:rPr>
        <w:t>no setor da energia</w:t>
      </w:r>
    </w:p>
    <w:p w14:paraId="066E7DDA" w14:textId="77777777" w:rsidR="009B0B71" w:rsidRDefault="009B0B71" w:rsidP="003C76D3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3FCA130D" w14:textId="4F7CEBCA" w:rsidR="00D663F4" w:rsidRPr="00D44C9A" w:rsidRDefault="00D663F4" w:rsidP="003C76D3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D44C9A">
        <w:rPr>
          <w:b/>
          <w:bCs/>
          <w:sz w:val="22"/>
          <w:szCs w:val="22"/>
        </w:rPr>
        <w:t>Novo estudo </w:t>
      </w:r>
      <w:proofErr w:type="spellStart"/>
      <w:r w:rsidR="00775468">
        <w:rPr>
          <w:b/>
          <w:bCs/>
          <w:sz w:val="22"/>
          <w:szCs w:val="22"/>
        </w:rPr>
        <w:fldChar w:fldCharType="begin"/>
      </w:r>
      <w:r w:rsidR="00775468">
        <w:rPr>
          <w:b/>
          <w:bCs/>
          <w:sz w:val="22"/>
          <w:szCs w:val="22"/>
        </w:rPr>
        <w:instrText>HYPERLINK "https://pt.nttdata.com/insights/reports/energy-trends"</w:instrText>
      </w:r>
      <w:r w:rsidR="00775468">
        <w:rPr>
          <w:b/>
          <w:bCs/>
          <w:sz w:val="22"/>
          <w:szCs w:val="22"/>
        </w:rPr>
      </w:r>
      <w:r w:rsidR="00775468">
        <w:rPr>
          <w:b/>
          <w:bCs/>
          <w:sz w:val="22"/>
          <w:szCs w:val="22"/>
        </w:rPr>
        <w:fldChar w:fldCharType="separate"/>
      </w:r>
      <w:r w:rsidRPr="00775468">
        <w:rPr>
          <w:rStyle w:val="Hiperligao"/>
          <w:b/>
          <w:bCs/>
          <w:sz w:val="22"/>
          <w:szCs w:val="22"/>
        </w:rPr>
        <w:t>Energy</w:t>
      </w:r>
      <w:proofErr w:type="spellEnd"/>
      <w:r w:rsidRPr="00775468">
        <w:rPr>
          <w:rStyle w:val="Hiperligao"/>
          <w:b/>
          <w:bCs/>
          <w:sz w:val="22"/>
          <w:szCs w:val="22"/>
        </w:rPr>
        <w:t xml:space="preserve"> </w:t>
      </w:r>
      <w:proofErr w:type="spellStart"/>
      <w:r w:rsidRPr="00775468">
        <w:rPr>
          <w:rStyle w:val="Hiperligao"/>
          <w:b/>
          <w:bCs/>
          <w:sz w:val="22"/>
          <w:szCs w:val="22"/>
        </w:rPr>
        <w:t>Trends</w:t>
      </w:r>
      <w:proofErr w:type="spellEnd"/>
      <w:r w:rsidRPr="00775468">
        <w:rPr>
          <w:rStyle w:val="Hiperligao"/>
          <w:b/>
          <w:bCs/>
          <w:sz w:val="22"/>
          <w:szCs w:val="22"/>
        </w:rPr>
        <w:t> </w:t>
      </w:r>
      <w:r w:rsidR="00775468">
        <w:rPr>
          <w:b/>
          <w:bCs/>
          <w:sz w:val="22"/>
          <w:szCs w:val="22"/>
        </w:rPr>
        <w:fldChar w:fldCharType="end"/>
      </w:r>
      <w:r w:rsidRPr="00D44C9A">
        <w:rPr>
          <w:b/>
          <w:bCs/>
          <w:sz w:val="22"/>
          <w:szCs w:val="22"/>
        </w:rPr>
        <w:t>analisa as tendências do setor energético e revela como as organizações estão a redefinir prioridades e cultura num contexto de transição, pressão regulatória e aceleração tecnológica.</w:t>
      </w:r>
    </w:p>
    <w:p w14:paraId="26AAD08B" w14:textId="77777777" w:rsidR="00A37D00" w:rsidRPr="00D44C9A" w:rsidRDefault="00A37D00" w:rsidP="00A37D00">
      <w:pPr>
        <w:spacing w:after="0" w:line="240" w:lineRule="auto"/>
        <w:jc w:val="both"/>
        <w:rPr>
          <w:sz w:val="22"/>
          <w:szCs w:val="22"/>
        </w:rPr>
      </w:pPr>
    </w:p>
    <w:p w14:paraId="707BF146" w14:textId="77777777" w:rsidR="00866264" w:rsidRPr="00D44C9A" w:rsidRDefault="00866264" w:rsidP="00A37D00">
      <w:pPr>
        <w:spacing w:after="0" w:line="240" w:lineRule="auto"/>
        <w:jc w:val="both"/>
        <w:rPr>
          <w:sz w:val="22"/>
          <w:szCs w:val="22"/>
        </w:rPr>
      </w:pPr>
    </w:p>
    <w:p w14:paraId="4649BC7A" w14:textId="57DEC306" w:rsidR="00D663F4" w:rsidRPr="00D44C9A" w:rsidRDefault="003C76D3" w:rsidP="00A37D00">
      <w:pPr>
        <w:spacing w:after="0" w:line="240" w:lineRule="auto"/>
        <w:jc w:val="both"/>
        <w:rPr>
          <w:sz w:val="20"/>
          <w:szCs w:val="20"/>
        </w:rPr>
      </w:pPr>
      <w:r w:rsidRPr="00D44C9A">
        <w:rPr>
          <w:b/>
          <w:bCs/>
          <w:sz w:val="20"/>
          <w:szCs w:val="20"/>
        </w:rPr>
        <w:t xml:space="preserve">Lisboa, 16 de junho de 2026 – </w:t>
      </w:r>
      <w:r w:rsidRPr="00D44C9A">
        <w:rPr>
          <w:sz w:val="20"/>
          <w:szCs w:val="20"/>
        </w:rPr>
        <w:t xml:space="preserve"> </w:t>
      </w:r>
      <w:r w:rsidR="00D663F4" w:rsidRPr="00D44C9A">
        <w:rPr>
          <w:sz w:val="20"/>
          <w:szCs w:val="20"/>
        </w:rPr>
        <w:t>A NTT DATA, líder global em IA, serviços de negócio e tecnologia, apresenta o relatório </w:t>
      </w:r>
      <w:proofErr w:type="spellStart"/>
      <w:r w:rsidR="00775468">
        <w:rPr>
          <w:b/>
          <w:bCs/>
          <w:sz w:val="20"/>
          <w:szCs w:val="20"/>
        </w:rPr>
        <w:fldChar w:fldCharType="begin"/>
      </w:r>
      <w:r w:rsidR="00775468">
        <w:rPr>
          <w:b/>
          <w:bCs/>
          <w:sz w:val="20"/>
          <w:szCs w:val="20"/>
        </w:rPr>
        <w:instrText>HYPERLINK "https://pt.nttdata.com/insights/reports/energy-trends"</w:instrText>
      </w:r>
      <w:r w:rsidR="00775468">
        <w:rPr>
          <w:b/>
          <w:bCs/>
          <w:sz w:val="20"/>
          <w:szCs w:val="20"/>
        </w:rPr>
      </w:r>
      <w:r w:rsidR="00775468">
        <w:rPr>
          <w:b/>
          <w:bCs/>
          <w:sz w:val="20"/>
          <w:szCs w:val="20"/>
        </w:rPr>
        <w:fldChar w:fldCharType="separate"/>
      </w:r>
      <w:r w:rsidR="00775468" w:rsidRPr="00775468">
        <w:rPr>
          <w:rStyle w:val="Hiperligao"/>
          <w:b/>
          <w:bCs/>
          <w:sz w:val="20"/>
          <w:szCs w:val="20"/>
        </w:rPr>
        <w:t>Energy</w:t>
      </w:r>
      <w:proofErr w:type="spellEnd"/>
      <w:r w:rsidR="00775468" w:rsidRPr="00775468">
        <w:rPr>
          <w:rStyle w:val="Hiperligao"/>
          <w:b/>
          <w:bCs/>
          <w:sz w:val="20"/>
          <w:szCs w:val="20"/>
        </w:rPr>
        <w:t xml:space="preserve"> </w:t>
      </w:r>
      <w:proofErr w:type="spellStart"/>
      <w:r w:rsidR="00775468" w:rsidRPr="00775468">
        <w:rPr>
          <w:rStyle w:val="Hiperligao"/>
          <w:b/>
          <w:bCs/>
          <w:sz w:val="20"/>
          <w:szCs w:val="20"/>
        </w:rPr>
        <w:t>Trends</w:t>
      </w:r>
      <w:proofErr w:type="spellEnd"/>
      <w:r w:rsidR="00775468">
        <w:rPr>
          <w:b/>
          <w:bCs/>
          <w:sz w:val="20"/>
          <w:szCs w:val="20"/>
        </w:rPr>
        <w:fldChar w:fldCharType="end"/>
      </w:r>
      <w:r w:rsidR="00D663F4" w:rsidRPr="00D44C9A">
        <w:rPr>
          <w:b/>
          <w:bCs/>
          <w:sz w:val="20"/>
          <w:szCs w:val="20"/>
        </w:rPr>
        <w:t>,</w:t>
      </w:r>
      <w:r w:rsidR="00D663F4" w:rsidRPr="00D44C9A">
        <w:rPr>
          <w:sz w:val="20"/>
          <w:szCs w:val="20"/>
        </w:rPr>
        <w:t xml:space="preserve"> uma análise aprofundada que explora de que forma as </w:t>
      </w:r>
      <w:r w:rsidR="00D663F4" w:rsidRPr="00D44C9A">
        <w:rPr>
          <w:b/>
          <w:bCs/>
          <w:sz w:val="20"/>
          <w:szCs w:val="20"/>
        </w:rPr>
        <w:t>empresas do setor da energia estão a redefinir as suas fronteiras tecnológicas</w:t>
      </w:r>
      <w:r w:rsidR="00D663F4" w:rsidRPr="00D44C9A">
        <w:rPr>
          <w:sz w:val="20"/>
          <w:szCs w:val="20"/>
        </w:rPr>
        <w:t xml:space="preserve">, </w:t>
      </w:r>
      <w:r w:rsidR="00D663F4" w:rsidRPr="00D44C9A">
        <w:rPr>
          <w:b/>
          <w:bCs/>
          <w:sz w:val="20"/>
          <w:szCs w:val="20"/>
        </w:rPr>
        <w:t>operacionais e de mercado</w:t>
      </w:r>
      <w:r w:rsidR="00D663F4" w:rsidRPr="00D44C9A">
        <w:rPr>
          <w:sz w:val="20"/>
          <w:szCs w:val="20"/>
        </w:rPr>
        <w:t xml:space="preserve">, num contexto marcado pela </w:t>
      </w:r>
      <w:r w:rsidR="00D663F4" w:rsidRPr="00D44C9A">
        <w:rPr>
          <w:b/>
          <w:bCs/>
          <w:sz w:val="20"/>
          <w:szCs w:val="20"/>
        </w:rPr>
        <w:t>transição para modelos mais sustentáveis,</w:t>
      </w:r>
      <w:r w:rsidR="00D663F4" w:rsidRPr="00D44C9A">
        <w:rPr>
          <w:sz w:val="20"/>
          <w:szCs w:val="20"/>
        </w:rPr>
        <w:t xml:space="preserve"> pelo </w:t>
      </w:r>
      <w:r w:rsidR="00D663F4" w:rsidRPr="00D44C9A">
        <w:rPr>
          <w:b/>
          <w:bCs/>
          <w:sz w:val="20"/>
          <w:szCs w:val="20"/>
        </w:rPr>
        <w:t>reforço da pressão regulatória</w:t>
      </w:r>
      <w:r w:rsidR="00D663F4" w:rsidRPr="00D44C9A">
        <w:rPr>
          <w:sz w:val="20"/>
          <w:szCs w:val="20"/>
        </w:rPr>
        <w:t xml:space="preserve">, por </w:t>
      </w:r>
      <w:r w:rsidR="00D663F4" w:rsidRPr="00D44C9A">
        <w:rPr>
          <w:b/>
          <w:bCs/>
          <w:sz w:val="20"/>
          <w:szCs w:val="20"/>
        </w:rPr>
        <w:t>tensões geopolíticas</w:t>
      </w:r>
      <w:r w:rsidR="00D663F4" w:rsidRPr="00D44C9A">
        <w:rPr>
          <w:sz w:val="20"/>
          <w:szCs w:val="20"/>
        </w:rPr>
        <w:t xml:space="preserve"> e pela </w:t>
      </w:r>
      <w:r w:rsidR="00D663F4" w:rsidRPr="00D44C9A">
        <w:rPr>
          <w:b/>
          <w:bCs/>
          <w:sz w:val="20"/>
          <w:szCs w:val="20"/>
        </w:rPr>
        <w:t>aceleração da mudança tecnológica</w:t>
      </w:r>
      <w:r w:rsidR="00D663F4" w:rsidRPr="00D44C9A">
        <w:rPr>
          <w:sz w:val="20"/>
          <w:szCs w:val="20"/>
        </w:rPr>
        <w:t>. Neste cenário, a inovação deixa de ser uma iniciativa isolada para se afirmar como uma arquitetura estratégica que integra decisões, estruturas, capacidades e ligações ao ecossistema, definindo o posicionamento futuro de cada organização no setor.</w:t>
      </w:r>
    </w:p>
    <w:p w14:paraId="1D97FDC3" w14:textId="77777777" w:rsidR="00A37D00" w:rsidRPr="00D44C9A" w:rsidRDefault="00A37D00" w:rsidP="00A37D00">
      <w:pPr>
        <w:spacing w:after="0" w:line="240" w:lineRule="auto"/>
        <w:jc w:val="both"/>
        <w:rPr>
          <w:sz w:val="20"/>
          <w:szCs w:val="20"/>
        </w:rPr>
      </w:pPr>
    </w:p>
    <w:p w14:paraId="15D07D99" w14:textId="77777777" w:rsidR="00D663F4" w:rsidRPr="00D44C9A" w:rsidRDefault="00D663F4" w:rsidP="00A37D00">
      <w:pPr>
        <w:spacing w:after="0" w:line="240" w:lineRule="auto"/>
        <w:jc w:val="both"/>
        <w:rPr>
          <w:sz w:val="20"/>
          <w:szCs w:val="20"/>
        </w:rPr>
      </w:pPr>
      <w:r w:rsidRPr="00D44C9A">
        <w:rPr>
          <w:sz w:val="20"/>
          <w:szCs w:val="20"/>
        </w:rPr>
        <w:t xml:space="preserve">O relatório destaca que a transformação digital já não pode ser encarada como um projeto para o futuro nem como um conjunto de iniciativas piloto isoladas, mas sim como um habilitador estrutural do negócio energético. O foco passa a estar na </w:t>
      </w:r>
      <w:r w:rsidRPr="00D44C9A">
        <w:rPr>
          <w:b/>
          <w:bCs/>
          <w:sz w:val="20"/>
          <w:szCs w:val="20"/>
        </w:rPr>
        <w:t>inovação com propósito</w:t>
      </w:r>
      <w:r w:rsidRPr="00D44C9A">
        <w:rPr>
          <w:sz w:val="20"/>
          <w:szCs w:val="20"/>
        </w:rPr>
        <w:t>: modernizar infraestruturas, tirar partido dos dados para melhorar a tomada de decisão e escalar tecnologias avançadas, como a IA, que permitam otimizar processos críticos ao longo de toda a cadeia de valor, aumentar a eficiência operacional e criar impacto sustentável com uma visão de longo prazo.</w:t>
      </w:r>
    </w:p>
    <w:p w14:paraId="697FD5D2" w14:textId="77777777" w:rsidR="00A37D00" w:rsidRPr="00D44C9A" w:rsidRDefault="00A37D00" w:rsidP="00A37D00">
      <w:pPr>
        <w:spacing w:after="0" w:line="240" w:lineRule="auto"/>
        <w:jc w:val="both"/>
        <w:rPr>
          <w:sz w:val="20"/>
          <w:szCs w:val="20"/>
        </w:rPr>
      </w:pPr>
    </w:p>
    <w:p w14:paraId="7A6F11EC" w14:textId="77777777" w:rsidR="00D663F4" w:rsidRPr="00D44C9A" w:rsidRDefault="00D663F4" w:rsidP="00A37D00">
      <w:pPr>
        <w:spacing w:after="0" w:line="240" w:lineRule="auto"/>
        <w:jc w:val="both"/>
        <w:rPr>
          <w:sz w:val="20"/>
          <w:szCs w:val="20"/>
        </w:rPr>
      </w:pPr>
      <w:r w:rsidRPr="00D44C9A">
        <w:rPr>
          <w:sz w:val="20"/>
          <w:szCs w:val="20"/>
        </w:rPr>
        <w:t xml:space="preserve">Neste contexto, a </w:t>
      </w:r>
      <w:r w:rsidRPr="00D44C9A">
        <w:rPr>
          <w:b/>
          <w:bCs/>
          <w:sz w:val="20"/>
          <w:szCs w:val="20"/>
        </w:rPr>
        <w:t>inovação no setor da energia</w:t>
      </w:r>
      <w:r w:rsidRPr="00D44C9A">
        <w:rPr>
          <w:sz w:val="20"/>
          <w:szCs w:val="20"/>
        </w:rPr>
        <w:t xml:space="preserve"> enfrenta </w:t>
      </w:r>
      <w:r w:rsidRPr="00D44C9A">
        <w:rPr>
          <w:b/>
          <w:bCs/>
          <w:sz w:val="20"/>
          <w:szCs w:val="20"/>
        </w:rPr>
        <w:t>desafios</w:t>
      </w:r>
      <w:r w:rsidRPr="00D44C9A">
        <w:rPr>
          <w:sz w:val="20"/>
          <w:szCs w:val="20"/>
        </w:rPr>
        <w:t xml:space="preserve"> que vão desde a capacidade de assumir riscos informados e identificar oportunidades para além das fronteiras do modelo de negócio tradicional, até à colaboração com parceiros do ecossistema e à construção de capacidades internas que permitam escalar com rapidez. Tudo isto exige um equilíbrio contínuo entre alcançar resultados no curto prazo e investimentos estratégicos de longo alcance.</w:t>
      </w:r>
    </w:p>
    <w:p w14:paraId="315DEEFC" w14:textId="77777777" w:rsidR="00A37D00" w:rsidRPr="00D44C9A" w:rsidRDefault="00A37D00" w:rsidP="00A37D00">
      <w:pPr>
        <w:spacing w:after="0" w:line="240" w:lineRule="auto"/>
        <w:jc w:val="both"/>
        <w:rPr>
          <w:sz w:val="20"/>
          <w:szCs w:val="20"/>
        </w:rPr>
      </w:pPr>
    </w:p>
    <w:p w14:paraId="120F858C" w14:textId="77777777" w:rsidR="00D663F4" w:rsidRPr="00D44C9A" w:rsidRDefault="00D663F4" w:rsidP="00A37D00">
      <w:pPr>
        <w:spacing w:after="0" w:line="240" w:lineRule="auto"/>
        <w:jc w:val="both"/>
        <w:rPr>
          <w:sz w:val="20"/>
          <w:szCs w:val="20"/>
        </w:rPr>
      </w:pPr>
      <w:r w:rsidRPr="00D44C9A">
        <w:rPr>
          <w:sz w:val="20"/>
          <w:szCs w:val="20"/>
        </w:rPr>
        <w:t xml:space="preserve">O estudo identifica </w:t>
      </w:r>
      <w:r w:rsidRPr="00D44C9A">
        <w:rPr>
          <w:b/>
          <w:bCs/>
          <w:sz w:val="20"/>
          <w:szCs w:val="20"/>
        </w:rPr>
        <w:t>dez desafios estruturais que condicionam a eficácia dos modelos de inovação</w:t>
      </w:r>
      <w:r w:rsidRPr="00D44C9A">
        <w:rPr>
          <w:sz w:val="20"/>
          <w:szCs w:val="20"/>
        </w:rPr>
        <w:t xml:space="preserve">. Para </w:t>
      </w:r>
      <w:r w:rsidRPr="00D44C9A">
        <w:rPr>
          <w:b/>
          <w:bCs/>
          <w:sz w:val="20"/>
          <w:szCs w:val="20"/>
        </w:rPr>
        <w:t>21%</w:t>
      </w:r>
      <w:r w:rsidRPr="00D44C9A">
        <w:rPr>
          <w:sz w:val="20"/>
          <w:szCs w:val="20"/>
        </w:rPr>
        <w:t xml:space="preserve"> das organizações do setor, o principal desafio reside em equilibrar a autonomia das equipas com as prioridades estratégicas do negócio. Seguem</w:t>
      </w:r>
      <w:r w:rsidRPr="00D44C9A">
        <w:rPr>
          <w:sz w:val="20"/>
          <w:szCs w:val="20"/>
        </w:rPr>
        <w:noBreakHyphen/>
        <w:t xml:space="preserve">se a medição do impacto estratégico da inovação e o posicionamento da inovação como motor estratégico, ambos referidos por </w:t>
      </w:r>
      <w:r w:rsidRPr="00D44C9A">
        <w:rPr>
          <w:b/>
          <w:bCs/>
          <w:sz w:val="20"/>
          <w:szCs w:val="20"/>
        </w:rPr>
        <w:t>14%</w:t>
      </w:r>
      <w:r w:rsidRPr="00D44C9A">
        <w:rPr>
          <w:sz w:val="20"/>
          <w:szCs w:val="20"/>
        </w:rPr>
        <w:t xml:space="preserve"> dos inquiridos, bem como a capacidade de transformar projetos</w:t>
      </w:r>
      <w:r w:rsidRPr="00D44C9A">
        <w:rPr>
          <w:sz w:val="20"/>
          <w:szCs w:val="20"/>
        </w:rPr>
        <w:noBreakHyphen/>
        <w:t xml:space="preserve">piloto em soluções à escala, identificada por </w:t>
      </w:r>
      <w:r w:rsidRPr="00D44C9A">
        <w:rPr>
          <w:b/>
          <w:bCs/>
          <w:sz w:val="20"/>
          <w:szCs w:val="20"/>
        </w:rPr>
        <w:t>7%</w:t>
      </w:r>
      <w:r w:rsidRPr="00D44C9A">
        <w:rPr>
          <w:sz w:val="20"/>
          <w:szCs w:val="20"/>
        </w:rPr>
        <w:t>.</w:t>
      </w:r>
    </w:p>
    <w:p w14:paraId="2D428EA3" w14:textId="77777777" w:rsidR="00A37D00" w:rsidRPr="00D44C9A" w:rsidRDefault="00A37D00" w:rsidP="00A37D00">
      <w:pPr>
        <w:spacing w:after="0" w:line="240" w:lineRule="auto"/>
        <w:jc w:val="both"/>
        <w:rPr>
          <w:sz w:val="20"/>
          <w:szCs w:val="20"/>
        </w:rPr>
      </w:pPr>
    </w:p>
    <w:p w14:paraId="7882F43E" w14:textId="77777777" w:rsidR="00D663F4" w:rsidRPr="00D44C9A" w:rsidRDefault="00D663F4" w:rsidP="00A37D00">
      <w:pPr>
        <w:spacing w:after="0" w:line="240" w:lineRule="auto"/>
        <w:jc w:val="both"/>
        <w:rPr>
          <w:sz w:val="20"/>
          <w:szCs w:val="20"/>
        </w:rPr>
      </w:pPr>
      <w:r w:rsidRPr="00D44C9A">
        <w:rPr>
          <w:sz w:val="20"/>
          <w:szCs w:val="20"/>
        </w:rPr>
        <w:t xml:space="preserve">Os restantes desafios incluem a evolução para modelos de relacionamento mais eficazes com </w:t>
      </w:r>
      <w:proofErr w:type="spellStart"/>
      <w:r w:rsidRPr="00D44C9A">
        <w:rPr>
          <w:i/>
          <w:iCs/>
          <w:sz w:val="20"/>
          <w:szCs w:val="20"/>
        </w:rPr>
        <w:t>startups</w:t>
      </w:r>
      <w:proofErr w:type="spellEnd"/>
      <w:r w:rsidRPr="00D44C9A">
        <w:rPr>
          <w:sz w:val="20"/>
          <w:szCs w:val="20"/>
        </w:rPr>
        <w:t>, a capacidade de antecipar e impulsionar a inovação em contextos de mudança, a definição de quando assumir uma posição de liderança tecnológica, o equilíbrio entre inovação incremental e disruptiva, a transformação da cultura organizacional para fomentar a inovação e a decisão entre desenvolver capacidades internamente ou recorrer ao ecossistema.</w:t>
      </w:r>
    </w:p>
    <w:p w14:paraId="1E2FB447" w14:textId="77777777" w:rsidR="00A37D00" w:rsidRPr="00D44C9A" w:rsidRDefault="00A37D00" w:rsidP="00A37D00">
      <w:pPr>
        <w:spacing w:after="0" w:line="240" w:lineRule="auto"/>
        <w:jc w:val="both"/>
        <w:rPr>
          <w:sz w:val="20"/>
          <w:szCs w:val="20"/>
        </w:rPr>
      </w:pPr>
    </w:p>
    <w:p w14:paraId="52E0EB0E" w14:textId="78C17160" w:rsidR="00D663F4" w:rsidRPr="00D44C9A" w:rsidRDefault="00664D16" w:rsidP="00A37D0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="00D663F4" w:rsidRPr="00D44C9A">
        <w:rPr>
          <w:sz w:val="20"/>
          <w:szCs w:val="20"/>
        </w:rPr>
        <w:t> </w:t>
      </w:r>
      <w:proofErr w:type="spellStart"/>
      <w:r w:rsidR="00D663F4">
        <w:fldChar w:fldCharType="begin"/>
      </w:r>
      <w:r w:rsidR="00D663F4">
        <w:instrText>HYPERLINK "https://pt.nttdata.com/insights/reports/energy-trends"</w:instrText>
      </w:r>
      <w:r w:rsidR="00D663F4">
        <w:fldChar w:fldCharType="separate"/>
      </w:r>
      <w:r w:rsidR="00D663F4" w:rsidRPr="00775468">
        <w:rPr>
          <w:rStyle w:val="Hiperligao"/>
          <w:sz w:val="20"/>
          <w:szCs w:val="20"/>
        </w:rPr>
        <w:t>Energy</w:t>
      </w:r>
      <w:proofErr w:type="spellEnd"/>
      <w:r w:rsidR="00D663F4" w:rsidRPr="00775468">
        <w:rPr>
          <w:rStyle w:val="Hiperligao"/>
          <w:sz w:val="20"/>
          <w:szCs w:val="20"/>
        </w:rPr>
        <w:t xml:space="preserve"> </w:t>
      </w:r>
      <w:proofErr w:type="spellStart"/>
      <w:r w:rsidR="00D663F4" w:rsidRPr="00775468">
        <w:rPr>
          <w:rStyle w:val="Hiperligao"/>
          <w:sz w:val="20"/>
          <w:szCs w:val="20"/>
        </w:rPr>
        <w:t>Trends</w:t>
      </w:r>
      <w:proofErr w:type="spellEnd"/>
      <w:r w:rsidR="00D663F4">
        <w:fldChar w:fldCharType="end"/>
      </w:r>
      <w:r>
        <w:rPr>
          <w:sz w:val="20"/>
          <w:szCs w:val="20"/>
        </w:rPr>
        <w:t xml:space="preserve"> apresenta</w:t>
      </w:r>
      <w:r w:rsidR="00D663F4" w:rsidRPr="00D44C9A">
        <w:rPr>
          <w:sz w:val="20"/>
          <w:szCs w:val="20"/>
        </w:rPr>
        <w:t xml:space="preserve"> um </w:t>
      </w:r>
      <w:proofErr w:type="spellStart"/>
      <w:r w:rsidR="00D663F4" w:rsidRPr="00D44C9A">
        <w:rPr>
          <w:b/>
          <w:bCs/>
          <w:i/>
          <w:iCs/>
          <w:sz w:val="20"/>
          <w:szCs w:val="20"/>
        </w:rPr>
        <w:t>framework</w:t>
      </w:r>
      <w:proofErr w:type="spellEnd"/>
      <w:r w:rsidR="00D663F4" w:rsidRPr="00D44C9A">
        <w:rPr>
          <w:b/>
          <w:bCs/>
          <w:sz w:val="20"/>
          <w:szCs w:val="20"/>
        </w:rPr>
        <w:t xml:space="preserve"> de inovação</w:t>
      </w:r>
      <w:r w:rsidR="00D663F4" w:rsidRPr="00D44C9A">
        <w:rPr>
          <w:sz w:val="20"/>
          <w:szCs w:val="20"/>
        </w:rPr>
        <w:t xml:space="preserve"> que sintetiza uma visão abrangente sobre a forma como as organizações do setor da energia estão a abordar a inovação no contexto atual. O </w:t>
      </w:r>
      <w:r w:rsidR="00D663F4" w:rsidRPr="00D44C9A">
        <w:rPr>
          <w:b/>
          <w:bCs/>
          <w:sz w:val="20"/>
          <w:szCs w:val="20"/>
        </w:rPr>
        <w:t>modelo, desenvolvido com base em cinco pilares</w:t>
      </w:r>
      <w:r w:rsidR="00D663F4" w:rsidRPr="00D44C9A">
        <w:rPr>
          <w:sz w:val="20"/>
          <w:szCs w:val="20"/>
        </w:rPr>
        <w:t xml:space="preserve"> - estratégia, estrutura, cultura, métricas e ecossistema -, reflete a ideia de que a inovação é uma capacidade que deve estar alinhada com o negócio, sustentada pela organização, avaliada pelo seu impacto e ligada a um ecossistema cada vez mais alargado. Esta abordagem permite às empresas compreenderem em que fase se encontram e que decisões estratégicas precisam de tomar para transformar a inovação num verdadeiro motor de competitividade e sustentabilidade.</w:t>
      </w:r>
    </w:p>
    <w:p w14:paraId="5CC70C25" w14:textId="77777777" w:rsidR="00A37D00" w:rsidRPr="00D44C9A" w:rsidRDefault="00A37D00" w:rsidP="00A37D00">
      <w:pPr>
        <w:spacing w:after="0" w:line="240" w:lineRule="auto"/>
        <w:jc w:val="both"/>
        <w:rPr>
          <w:sz w:val="20"/>
          <w:szCs w:val="20"/>
        </w:rPr>
      </w:pPr>
    </w:p>
    <w:p w14:paraId="19A64DBB" w14:textId="77777777" w:rsidR="00D663F4" w:rsidRPr="00D44C9A" w:rsidRDefault="00D663F4" w:rsidP="00A37D00">
      <w:pPr>
        <w:spacing w:after="0" w:line="240" w:lineRule="auto"/>
        <w:jc w:val="both"/>
        <w:rPr>
          <w:sz w:val="20"/>
          <w:szCs w:val="20"/>
        </w:rPr>
      </w:pPr>
      <w:r w:rsidRPr="00D44C9A">
        <w:rPr>
          <w:sz w:val="20"/>
          <w:szCs w:val="20"/>
        </w:rPr>
        <w:t xml:space="preserve">O estudo mapeia ainda </w:t>
      </w:r>
      <w:r w:rsidRPr="00D44C9A">
        <w:rPr>
          <w:b/>
          <w:bCs/>
          <w:sz w:val="20"/>
          <w:szCs w:val="20"/>
        </w:rPr>
        <w:t>cinco níveis de maturidade organizacional no setor da energia</w:t>
      </w:r>
      <w:r w:rsidRPr="00D44C9A">
        <w:rPr>
          <w:sz w:val="20"/>
          <w:szCs w:val="20"/>
        </w:rPr>
        <w:t xml:space="preserve">. Estes níveis incluem: </w:t>
      </w:r>
      <w:r w:rsidRPr="00D44C9A">
        <w:rPr>
          <w:b/>
          <w:bCs/>
          <w:sz w:val="20"/>
          <w:szCs w:val="20"/>
        </w:rPr>
        <w:t>emergente e reativo</w:t>
      </w:r>
      <w:r w:rsidRPr="00D44C9A">
        <w:rPr>
          <w:sz w:val="20"/>
          <w:szCs w:val="20"/>
        </w:rPr>
        <w:t xml:space="preserve"> (inovação pontual, sem estrutura nem foco estratégico); </w:t>
      </w:r>
      <w:r w:rsidRPr="00D44C9A">
        <w:rPr>
          <w:b/>
          <w:bCs/>
          <w:sz w:val="20"/>
          <w:szCs w:val="20"/>
        </w:rPr>
        <w:t>funcional e incipiente</w:t>
      </w:r>
      <w:r w:rsidRPr="00D44C9A">
        <w:rPr>
          <w:sz w:val="20"/>
          <w:szCs w:val="20"/>
        </w:rPr>
        <w:t xml:space="preserve"> (existência de uma estrutura básica, com processos ainda fortemente dependentes do negócio); </w:t>
      </w:r>
      <w:r w:rsidRPr="00D44C9A">
        <w:rPr>
          <w:b/>
          <w:bCs/>
          <w:sz w:val="20"/>
          <w:szCs w:val="20"/>
        </w:rPr>
        <w:t>alinhado e integrado</w:t>
      </w:r>
      <w:r w:rsidRPr="00D44C9A">
        <w:rPr>
          <w:sz w:val="20"/>
          <w:szCs w:val="20"/>
        </w:rPr>
        <w:t xml:space="preserve"> (inovação ligada à estratégia, mas ainda sem autonomia); </w:t>
      </w:r>
      <w:r w:rsidRPr="00D44C9A">
        <w:rPr>
          <w:b/>
          <w:bCs/>
          <w:sz w:val="20"/>
          <w:szCs w:val="20"/>
        </w:rPr>
        <w:t>autónomo e estratégico</w:t>
      </w:r>
      <w:r w:rsidRPr="00D44C9A">
        <w:rPr>
          <w:sz w:val="20"/>
          <w:szCs w:val="20"/>
        </w:rPr>
        <w:t xml:space="preserve"> (evolução natural do estágio anterior); e </w:t>
      </w:r>
      <w:r w:rsidRPr="00D44C9A">
        <w:rPr>
          <w:b/>
          <w:bCs/>
          <w:sz w:val="20"/>
          <w:szCs w:val="20"/>
        </w:rPr>
        <w:t>orquestrador e influenciador sistemático</w:t>
      </w:r>
      <w:r w:rsidRPr="00D44C9A">
        <w:rPr>
          <w:sz w:val="20"/>
          <w:szCs w:val="20"/>
        </w:rPr>
        <w:t>, em que a organização lidera o ecossistema e consegue escalar soluções com impacto sistemático.</w:t>
      </w:r>
    </w:p>
    <w:p w14:paraId="6FA30DE4" w14:textId="77777777" w:rsidR="00A37D00" w:rsidRPr="00D44C9A" w:rsidRDefault="00A37D00" w:rsidP="00A37D00">
      <w:pPr>
        <w:spacing w:after="0" w:line="240" w:lineRule="auto"/>
        <w:jc w:val="both"/>
        <w:rPr>
          <w:sz w:val="20"/>
          <w:szCs w:val="20"/>
        </w:rPr>
      </w:pPr>
    </w:p>
    <w:p w14:paraId="1C00CA04" w14:textId="77777777" w:rsidR="00D663F4" w:rsidRPr="00D44C9A" w:rsidRDefault="00D663F4" w:rsidP="00A37D00">
      <w:pPr>
        <w:spacing w:after="0" w:line="240" w:lineRule="auto"/>
        <w:jc w:val="both"/>
        <w:rPr>
          <w:sz w:val="20"/>
          <w:szCs w:val="20"/>
        </w:rPr>
      </w:pPr>
      <w:r w:rsidRPr="00D44C9A">
        <w:rPr>
          <w:sz w:val="20"/>
          <w:szCs w:val="20"/>
        </w:rPr>
        <w:t xml:space="preserve">No que respeita ao </w:t>
      </w:r>
      <w:r w:rsidRPr="00D44C9A">
        <w:rPr>
          <w:b/>
          <w:bCs/>
          <w:sz w:val="20"/>
          <w:szCs w:val="20"/>
        </w:rPr>
        <w:t xml:space="preserve">investimento em </w:t>
      </w:r>
      <w:proofErr w:type="spellStart"/>
      <w:r w:rsidRPr="00D44C9A">
        <w:rPr>
          <w:b/>
          <w:bCs/>
          <w:i/>
          <w:iCs/>
          <w:sz w:val="20"/>
          <w:szCs w:val="20"/>
        </w:rPr>
        <w:t>startups</w:t>
      </w:r>
      <w:proofErr w:type="spellEnd"/>
      <w:r w:rsidRPr="00D44C9A">
        <w:rPr>
          <w:b/>
          <w:bCs/>
          <w:sz w:val="20"/>
          <w:szCs w:val="20"/>
        </w:rPr>
        <w:t xml:space="preserve"> do setor da energia</w:t>
      </w:r>
      <w:r w:rsidRPr="00D44C9A">
        <w:rPr>
          <w:sz w:val="20"/>
          <w:szCs w:val="20"/>
        </w:rPr>
        <w:t xml:space="preserve">, o estudo identifica uma reorientação clara para tecnologias capazes de impulsionar a descarbonização sem comprometer a escala industrial, segmento que já concentra </w:t>
      </w:r>
      <w:r w:rsidRPr="00D44C9A">
        <w:rPr>
          <w:b/>
          <w:bCs/>
          <w:sz w:val="20"/>
          <w:szCs w:val="20"/>
        </w:rPr>
        <w:t>mais de 35%</w:t>
      </w:r>
      <w:r w:rsidRPr="00D44C9A">
        <w:rPr>
          <w:sz w:val="20"/>
          <w:szCs w:val="20"/>
        </w:rPr>
        <w:t xml:space="preserve"> dos recursos investidos. Em paralelo, observa</w:t>
      </w:r>
      <w:r w:rsidRPr="00D44C9A">
        <w:rPr>
          <w:sz w:val="20"/>
          <w:szCs w:val="20"/>
        </w:rPr>
        <w:noBreakHyphen/>
        <w:t>se um aumento da diversificação para capacidades transversais e novos serviços, com investimentos relevantes em áreas como hidrogénio, captura e armazenamento de carbono, combustíveis sintéticos, biocombustíveis e digitalização industrial.</w:t>
      </w:r>
    </w:p>
    <w:p w14:paraId="324E4567" w14:textId="77777777" w:rsidR="00A37D00" w:rsidRPr="00D44C9A" w:rsidRDefault="00A37D00" w:rsidP="00A37D00">
      <w:pPr>
        <w:spacing w:after="0" w:line="240" w:lineRule="auto"/>
        <w:jc w:val="both"/>
        <w:rPr>
          <w:sz w:val="20"/>
          <w:szCs w:val="20"/>
        </w:rPr>
      </w:pPr>
    </w:p>
    <w:p w14:paraId="6552AF14" w14:textId="77777777" w:rsidR="00D663F4" w:rsidRPr="00D44C9A" w:rsidRDefault="00D663F4" w:rsidP="00A37D00">
      <w:pPr>
        <w:spacing w:after="0" w:line="240" w:lineRule="auto"/>
        <w:jc w:val="both"/>
        <w:rPr>
          <w:sz w:val="20"/>
          <w:szCs w:val="20"/>
        </w:rPr>
      </w:pPr>
      <w:r w:rsidRPr="00D44C9A">
        <w:rPr>
          <w:sz w:val="20"/>
          <w:szCs w:val="20"/>
        </w:rPr>
        <w:t>Mais do que uma resposta a objetivos ambientais, este padrão de investimento reflete a procura de vantagens competitivas sustentáveis, o desenvolvimento de novas cadeias de valor e o reforço da resiliência face a riscos regulatórios e geopolíticos. Trata</w:t>
      </w:r>
      <w:r w:rsidRPr="00D44C9A">
        <w:rPr>
          <w:sz w:val="20"/>
          <w:szCs w:val="20"/>
        </w:rPr>
        <w:noBreakHyphen/>
        <w:t>se do resultado de um portefólio progressivamente mais equilibrado, no qual inovação e escalabilidade evoluem de forma integrada.</w:t>
      </w:r>
    </w:p>
    <w:p w14:paraId="66C9F37D" w14:textId="77777777" w:rsidR="00A37D00" w:rsidRPr="00D44C9A" w:rsidRDefault="00A37D00" w:rsidP="00A37D00">
      <w:pPr>
        <w:spacing w:after="0" w:line="240" w:lineRule="auto"/>
        <w:jc w:val="both"/>
        <w:rPr>
          <w:sz w:val="20"/>
          <w:szCs w:val="20"/>
        </w:rPr>
      </w:pPr>
    </w:p>
    <w:p w14:paraId="301371E0" w14:textId="6D6FA9B2" w:rsidR="00D663F4" w:rsidRPr="00D44C9A" w:rsidRDefault="00D663F4" w:rsidP="00A37D00">
      <w:pPr>
        <w:spacing w:after="0" w:line="240" w:lineRule="auto"/>
        <w:jc w:val="both"/>
        <w:rPr>
          <w:sz w:val="20"/>
          <w:szCs w:val="20"/>
        </w:rPr>
      </w:pPr>
      <w:r w:rsidRPr="00D44C9A">
        <w:rPr>
          <w:i/>
          <w:iCs/>
          <w:sz w:val="20"/>
          <w:szCs w:val="20"/>
        </w:rPr>
        <w:t>“O setor da energia atravessa uma transformação profunda que exige uma abordagem integrada - tecnologia, pessoas e sustentabilidade têm de evoluir em conjunto para gerar impacto real e sustentável a longo prazo”, </w:t>
      </w:r>
      <w:r w:rsidRPr="00D44C9A">
        <w:rPr>
          <w:b/>
          <w:bCs/>
          <w:sz w:val="20"/>
          <w:szCs w:val="20"/>
        </w:rPr>
        <w:t>afirm</w:t>
      </w:r>
      <w:r w:rsidR="004A6655" w:rsidRPr="00D44C9A">
        <w:rPr>
          <w:b/>
          <w:bCs/>
          <w:sz w:val="20"/>
          <w:szCs w:val="20"/>
        </w:rPr>
        <w:t>a</w:t>
      </w:r>
      <w:r w:rsidRPr="00D44C9A">
        <w:rPr>
          <w:b/>
          <w:bCs/>
          <w:sz w:val="20"/>
          <w:szCs w:val="20"/>
        </w:rPr>
        <w:t xml:space="preserve"> Héctor Pinar, Global </w:t>
      </w:r>
      <w:proofErr w:type="spellStart"/>
      <w:r w:rsidRPr="00D44C9A">
        <w:rPr>
          <w:b/>
          <w:bCs/>
          <w:sz w:val="20"/>
          <w:szCs w:val="20"/>
        </w:rPr>
        <w:t>Head</w:t>
      </w:r>
      <w:proofErr w:type="spellEnd"/>
      <w:r w:rsidRPr="00D44C9A">
        <w:rPr>
          <w:b/>
          <w:bCs/>
          <w:sz w:val="20"/>
          <w:szCs w:val="20"/>
        </w:rPr>
        <w:t xml:space="preserve"> </w:t>
      </w:r>
      <w:proofErr w:type="spellStart"/>
      <w:r w:rsidRPr="00D44C9A">
        <w:rPr>
          <w:b/>
          <w:bCs/>
          <w:sz w:val="20"/>
          <w:szCs w:val="20"/>
        </w:rPr>
        <w:t>of</w:t>
      </w:r>
      <w:proofErr w:type="spellEnd"/>
      <w:r w:rsidRPr="00D44C9A">
        <w:rPr>
          <w:b/>
          <w:bCs/>
          <w:sz w:val="20"/>
          <w:szCs w:val="20"/>
        </w:rPr>
        <w:t xml:space="preserve"> </w:t>
      </w:r>
      <w:proofErr w:type="spellStart"/>
      <w:r w:rsidRPr="00D44C9A">
        <w:rPr>
          <w:b/>
          <w:bCs/>
          <w:sz w:val="20"/>
          <w:szCs w:val="20"/>
        </w:rPr>
        <w:t>Energy</w:t>
      </w:r>
      <w:proofErr w:type="spellEnd"/>
      <w:r w:rsidRPr="00D44C9A">
        <w:rPr>
          <w:b/>
          <w:bCs/>
          <w:sz w:val="20"/>
          <w:szCs w:val="20"/>
        </w:rPr>
        <w:t xml:space="preserve"> &amp; </w:t>
      </w:r>
      <w:proofErr w:type="spellStart"/>
      <w:r w:rsidRPr="00D44C9A">
        <w:rPr>
          <w:b/>
          <w:bCs/>
          <w:sz w:val="20"/>
          <w:szCs w:val="20"/>
        </w:rPr>
        <w:t>Utilities</w:t>
      </w:r>
      <w:proofErr w:type="spellEnd"/>
      <w:r w:rsidRPr="00D44C9A">
        <w:rPr>
          <w:b/>
          <w:bCs/>
          <w:sz w:val="20"/>
          <w:szCs w:val="20"/>
        </w:rPr>
        <w:t xml:space="preserve"> da NTT DATA.</w:t>
      </w:r>
      <w:r w:rsidRPr="00D44C9A">
        <w:rPr>
          <w:i/>
          <w:iCs/>
          <w:sz w:val="20"/>
          <w:szCs w:val="20"/>
        </w:rPr>
        <w:t> “Adotar novas tecnologias vai muito além do investimento financeiro. É essencial construir uma cultura organizacional preparada para incorporar inovação, dados e sustentabilidade como parte integrante do ADN do negócio”, </w:t>
      </w:r>
      <w:r w:rsidR="00664D16" w:rsidRPr="00D44C9A">
        <w:rPr>
          <w:sz w:val="20"/>
          <w:szCs w:val="20"/>
        </w:rPr>
        <w:t>acrescent</w:t>
      </w:r>
      <w:r w:rsidR="00664D16">
        <w:rPr>
          <w:sz w:val="20"/>
          <w:szCs w:val="20"/>
        </w:rPr>
        <w:t>a</w:t>
      </w:r>
      <w:r w:rsidRPr="00D44C9A">
        <w:rPr>
          <w:sz w:val="20"/>
          <w:szCs w:val="20"/>
        </w:rPr>
        <w:t>.</w:t>
      </w:r>
    </w:p>
    <w:p w14:paraId="005C5AB9" w14:textId="77777777" w:rsidR="0099071E" w:rsidRPr="00D44C9A" w:rsidRDefault="0099071E" w:rsidP="00A37D00">
      <w:pPr>
        <w:spacing w:after="0" w:line="240" w:lineRule="auto"/>
        <w:jc w:val="both"/>
        <w:rPr>
          <w:sz w:val="20"/>
          <w:szCs w:val="20"/>
        </w:rPr>
      </w:pPr>
    </w:p>
    <w:p w14:paraId="4B527001" w14:textId="7F13B017" w:rsidR="000F6470" w:rsidRPr="00D44C9A" w:rsidRDefault="000F6470" w:rsidP="000F6470">
      <w:pPr>
        <w:spacing w:after="0" w:line="240" w:lineRule="auto"/>
        <w:jc w:val="both"/>
        <w:rPr>
          <w:sz w:val="20"/>
          <w:szCs w:val="20"/>
        </w:rPr>
      </w:pPr>
      <w:r w:rsidRPr="00D44C9A">
        <w:rPr>
          <w:i/>
          <w:iCs/>
          <w:sz w:val="20"/>
          <w:szCs w:val="20"/>
        </w:rPr>
        <w:t xml:space="preserve">“À medida que o setor energético atravessa uma transformação sem precedentes, a inovação deixa de ser uma função de apoio para se tornar um diferencial estratégico. A capacidade de ampliar a escala das tecnologias emergentes e de construir ecossistemas colaborativos será um fator determinante para o crescimento sustentável e a competitividade.”, declara </w:t>
      </w:r>
      <w:r w:rsidRPr="00D44C9A">
        <w:rPr>
          <w:b/>
          <w:bCs/>
          <w:i/>
          <w:iCs/>
          <w:sz w:val="20"/>
          <w:szCs w:val="20"/>
        </w:rPr>
        <w:t xml:space="preserve">Luís Vaz de Carvalho, </w:t>
      </w:r>
      <w:proofErr w:type="spellStart"/>
      <w:r w:rsidRPr="00D44C9A">
        <w:rPr>
          <w:b/>
          <w:bCs/>
          <w:i/>
          <w:iCs/>
          <w:sz w:val="20"/>
          <w:szCs w:val="20"/>
        </w:rPr>
        <w:t>Partner</w:t>
      </w:r>
      <w:proofErr w:type="spellEnd"/>
      <w:r w:rsidRPr="00D44C9A">
        <w:rPr>
          <w:b/>
          <w:bCs/>
          <w:i/>
          <w:iCs/>
          <w:sz w:val="20"/>
          <w:szCs w:val="20"/>
        </w:rPr>
        <w:t xml:space="preserve">, </w:t>
      </w:r>
      <w:proofErr w:type="spellStart"/>
      <w:r w:rsidRPr="00D44C9A">
        <w:rPr>
          <w:b/>
          <w:bCs/>
          <w:i/>
          <w:iCs/>
          <w:sz w:val="20"/>
          <w:szCs w:val="20"/>
        </w:rPr>
        <w:t>Head</w:t>
      </w:r>
      <w:proofErr w:type="spellEnd"/>
      <w:r w:rsidRPr="00D44C9A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D44C9A">
        <w:rPr>
          <w:b/>
          <w:bCs/>
          <w:i/>
          <w:iCs/>
          <w:sz w:val="20"/>
          <w:szCs w:val="20"/>
        </w:rPr>
        <w:t>of</w:t>
      </w:r>
      <w:proofErr w:type="spellEnd"/>
      <w:r w:rsidRPr="00D44C9A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D44C9A">
        <w:rPr>
          <w:b/>
          <w:bCs/>
          <w:i/>
          <w:iCs/>
          <w:sz w:val="20"/>
          <w:szCs w:val="20"/>
        </w:rPr>
        <w:t>Energy</w:t>
      </w:r>
      <w:proofErr w:type="spellEnd"/>
      <w:r w:rsidRPr="00D44C9A">
        <w:rPr>
          <w:b/>
          <w:bCs/>
          <w:i/>
          <w:iCs/>
          <w:sz w:val="20"/>
          <w:szCs w:val="20"/>
        </w:rPr>
        <w:t xml:space="preserve"> &amp; </w:t>
      </w:r>
      <w:proofErr w:type="spellStart"/>
      <w:r w:rsidRPr="00D44C9A">
        <w:rPr>
          <w:b/>
          <w:bCs/>
          <w:i/>
          <w:iCs/>
          <w:sz w:val="20"/>
          <w:szCs w:val="20"/>
        </w:rPr>
        <w:t>Utilities</w:t>
      </w:r>
      <w:proofErr w:type="spellEnd"/>
      <w:r w:rsidRPr="00D44C9A">
        <w:rPr>
          <w:b/>
          <w:bCs/>
          <w:i/>
          <w:iCs/>
          <w:sz w:val="20"/>
          <w:szCs w:val="20"/>
        </w:rPr>
        <w:t xml:space="preserve">, </w:t>
      </w:r>
      <w:r w:rsidR="00664D16">
        <w:rPr>
          <w:b/>
          <w:bCs/>
          <w:i/>
          <w:iCs/>
          <w:sz w:val="20"/>
          <w:szCs w:val="20"/>
        </w:rPr>
        <w:t xml:space="preserve">da </w:t>
      </w:r>
      <w:r w:rsidRPr="00D44C9A">
        <w:rPr>
          <w:b/>
          <w:bCs/>
          <w:i/>
          <w:iCs/>
          <w:sz w:val="20"/>
          <w:szCs w:val="20"/>
        </w:rPr>
        <w:t>NTT DATA Portugal</w:t>
      </w:r>
      <w:r w:rsidR="00664D16">
        <w:rPr>
          <w:b/>
          <w:bCs/>
          <w:i/>
          <w:iCs/>
          <w:sz w:val="20"/>
          <w:szCs w:val="20"/>
        </w:rPr>
        <w:t>.</w:t>
      </w:r>
    </w:p>
    <w:p w14:paraId="41FA3A06" w14:textId="77777777" w:rsidR="00A37D00" w:rsidRPr="00D44C9A" w:rsidRDefault="00A37D00" w:rsidP="00A37D00">
      <w:pPr>
        <w:spacing w:after="0" w:line="240" w:lineRule="auto"/>
        <w:jc w:val="both"/>
        <w:rPr>
          <w:sz w:val="20"/>
          <w:szCs w:val="20"/>
        </w:rPr>
      </w:pPr>
    </w:p>
    <w:p w14:paraId="75046F85" w14:textId="77777777" w:rsidR="00D663F4" w:rsidRDefault="00D663F4" w:rsidP="00A37D00">
      <w:pPr>
        <w:spacing w:after="0" w:line="240" w:lineRule="auto"/>
        <w:jc w:val="both"/>
        <w:rPr>
          <w:sz w:val="20"/>
          <w:szCs w:val="20"/>
        </w:rPr>
      </w:pPr>
      <w:r w:rsidRPr="00D44C9A">
        <w:rPr>
          <w:sz w:val="20"/>
          <w:szCs w:val="20"/>
        </w:rPr>
        <w:t xml:space="preserve">O estudo sublinha a </w:t>
      </w:r>
      <w:r w:rsidRPr="00D44C9A">
        <w:rPr>
          <w:b/>
          <w:bCs/>
          <w:sz w:val="20"/>
          <w:szCs w:val="20"/>
        </w:rPr>
        <w:t>importância de análises especializadas para compreender as dinâmicas do setor da energia e antecipar tendências relevantes</w:t>
      </w:r>
      <w:r w:rsidRPr="00D44C9A">
        <w:rPr>
          <w:sz w:val="20"/>
          <w:szCs w:val="20"/>
        </w:rPr>
        <w:t>. Ao mesmo tempo, reforça o papel da NTT DATA como parceira estratégica das organizações do setor energético, contribuindo para a definição e execução de estratégias que integram inovação tecnológica, eficiência operacional e uma visão sustentada de longo prazo.</w:t>
      </w:r>
    </w:p>
    <w:p w14:paraId="5DB48872" w14:textId="77777777" w:rsidR="00403F33" w:rsidRDefault="00403F33" w:rsidP="00A37D00">
      <w:pPr>
        <w:spacing w:after="0" w:line="240" w:lineRule="auto"/>
        <w:jc w:val="both"/>
        <w:rPr>
          <w:sz w:val="20"/>
          <w:szCs w:val="20"/>
        </w:rPr>
      </w:pPr>
    </w:p>
    <w:p w14:paraId="747084C6" w14:textId="77777777" w:rsidR="00403F33" w:rsidRDefault="00403F33" w:rsidP="00A37D00">
      <w:pPr>
        <w:spacing w:after="0" w:line="240" w:lineRule="auto"/>
        <w:jc w:val="both"/>
        <w:rPr>
          <w:sz w:val="20"/>
          <w:szCs w:val="20"/>
        </w:rPr>
      </w:pPr>
    </w:p>
    <w:p w14:paraId="3C8B2846" w14:textId="720648B9" w:rsidR="00403F33" w:rsidRPr="002625B6" w:rsidRDefault="00403F33" w:rsidP="00A37D00">
      <w:pPr>
        <w:spacing w:after="0" w:line="240" w:lineRule="auto"/>
        <w:jc w:val="both"/>
        <w:rPr>
          <w:sz w:val="18"/>
          <w:szCs w:val="18"/>
        </w:rPr>
      </w:pPr>
      <w:r w:rsidRPr="002625B6">
        <w:rPr>
          <w:sz w:val="18"/>
          <w:szCs w:val="18"/>
        </w:rPr>
        <w:t xml:space="preserve">O </w:t>
      </w:r>
      <w:r w:rsidRPr="002625B6">
        <w:rPr>
          <w:b/>
          <w:bCs/>
          <w:sz w:val="18"/>
          <w:szCs w:val="18"/>
        </w:rPr>
        <w:t>relatório </w:t>
      </w:r>
      <w:proofErr w:type="spellStart"/>
      <w:r w:rsidRPr="002625B6">
        <w:rPr>
          <w:b/>
          <w:bCs/>
          <w:sz w:val="18"/>
          <w:szCs w:val="18"/>
        </w:rPr>
        <w:t>Energy</w:t>
      </w:r>
      <w:proofErr w:type="spellEnd"/>
      <w:r w:rsidRPr="002625B6">
        <w:rPr>
          <w:b/>
          <w:bCs/>
          <w:sz w:val="18"/>
          <w:szCs w:val="18"/>
        </w:rPr>
        <w:t xml:space="preserve"> </w:t>
      </w:r>
      <w:proofErr w:type="spellStart"/>
      <w:r w:rsidRPr="002625B6">
        <w:rPr>
          <w:b/>
          <w:bCs/>
          <w:sz w:val="18"/>
          <w:szCs w:val="18"/>
        </w:rPr>
        <w:t>Trends</w:t>
      </w:r>
      <w:proofErr w:type="spellEnd"/>
      <w:r w:rsidRPr="002625B6">
        <w:rPr>
          <w:sz w:val="18"/>
          <w:szCs w:val="18"/>
        </w:rPr>
        <w:t xml:space="preserve"> está disponível para consulta e download em: </w:t>
      </w:r>
      <w:r w:rsidR="001D3F83" w:rsidRPr="002625B6">
        <w:rPr>
          <w:sz w:val="18"/>
          <w:szCs w:val="18"/>
        </w:rPr>
        <w:t> </w:t>
      </w:r>
      <w:proofErr w:type="spellStart"/>
      <w:r w:rsidR="001D3F83" w:rsidRPr="002625B6">
        <w:rPr>
          <w:sz w:val="18"/>
          <w:szCs w:val="18"/>
        </w:rPr>
        <w:fldChar w:fldCharType="begin"/>
      </w:r>
      <w:r w:rsidR="001D3F83" w:rsidRPr="002625B6">
        <w:rPr>
          <w:sz w:val="18"/>
          <w:szCs w:val="18"/>
        </w:rPr>
        <w:instrText>HYPERLINK "https://pt.nttdata.com/insights/reports/energy-trends" \o "https://pt.nttdata.com/insights/reports/energy-trends"</w:instrText>
      </w:r>
      <w:r w:rsidR="001D3F83" w:rsidRPr="002625B6">
        <w:rPr>
          <w:sz w:val="18"/>
          <w:szCs w:val="18"/>
        </w:rPr>
      </w:r>
      <w:r w:rsidR="001D3F83" w:rsidRPr="002625B6">
        <w:rPr>
          <w:sz w:val="18"/>
          <w:szCs w:val="18"/>
        </w:rPr>
        <w:fldChar w:fldCharType="separate"/>
      </w:r>
      <w:r w:rsidR="001D3F83" w:rsidRPr="002625B6">
        <w:rPr>
          <w:rStyle w:val="Hiperligao"/>
          <w:sz w:val="18"/>
          <w:szCs w:val="18"/>
        </w:rPr>
        <w:t>Energy</w:t>
      </w:r>
      <w:proofErr w:type="spellEnd"/>
      <w:r w:rsidR="001D3F83" w:rsidRPr="002625B6">
        <w:rPr>
          <w:rStyle w:val="Hiperligao"/>
          <w:sz w:val="18"/>
          <w:szCs w:val="18"/>
        </w:rPr>
        <w:t xml:space="preserve"> </w:t>
      </w:r>
      <w:proofErr w:type="spellStart"/>
      <w:r w:rsidR="001D3F83" w:rsidRPr="002625B6">
        <w:rPr>
          <w:rStyle w:val="Hiperligao"/>
          <w:sz w:val="18"/>
          <w:szCs w:val="18"/>
        </w:rPr>
        <w:t>Trends</w:t>
      </w:r>
      <w:proofErr w:type="spellEnd"/>
      <w:r w:rsidR="001D3F83" w:rsidRPr="002625B6">
        <w:rPr>
          <w:rStyle w:val="Hiperligao"/>
          <w:sz w:val="18"/>
          <w:szCs w:val="18"/>
        </w:rPr>
        <w:t xml:space="preserve"> 2025: Inovação e Futuro do Setor Energético | NTT DATA</w:t>
      </w:r>
      <w:r w:rsidR="001D3F83" w:rsidRPr="002625B6">
        <w:rPr>
          <w:sz w:val="18"/>
          <w:szCs w:val="18"/>
        </w:rPr>
        <w:fldChar w:fldCharType="end"/>
      </w:r>
    </w:p>
    <w:p w14:paraId="05C4FD12" w14:textId="77777777" w:rsidR="00403F33" w:rsidRDefault="00403F33" w:rsidP="00A37D00">
      <w:pPr>
        <w:spacing w:after="0" w:line="240" w:lineRule="auto"/>
        <w:jc w:val="both"/>
        <w:rPr>
          <w:sz w:val="20"/>
          <w:szCs w:val="20"/>
        </w:rPr>
      </w:pPr>
    </w:p>
    <w:p w14:paraId="6735781A" w14:textId="77777777" w:rsidR="002625B6" w:rsidRPr="00D44C9A" w:rsidRDefault="002625B6" w:rsidP="00A37D00">
      <w:pPr>
        <w:spacing w:after="0" w:line="240" w:lineRule="auto"/>
        <w:jc w:val="both"/>
        <w:rPr>
          <w:sz w:val="20"/>
          <w:szCs w:val="20"/>
        </w:rPr>
      </w:pPr>
    </w:p>
    <w:p w14:paraId="2C784AC8" w14:textId="77777777" w:rsidR="00403F33" w:rsidRPr="00FF2632" w:rsidRDefault="00403F33" w:rsidP="00403F33">
      <w:pPr>
        <w:spacing w:after="0"/>
        <w:rPr>
          <w:rFonts w:asciiTheme="majorHAnsi" w:hAnsiTheme="majorHAnsi"/>
          <w:sz w:val="18"/>
          <w:szCs w:val="18"/>
        </w:rPr>
      </w:pPr>
      <w:r w:rsidRPr="00FF2632">
        <w:rPr>
          <w:rFonts w:asciiTheme="majorHAnsi" w:hAnsiTheme="majorHAnsi"/>
          <w:b/>
          <w:sz w:val="18"/>
          <w:szCs w:val="18"/>
        </w:rPr>
        <w:t>Para mais informações, favor contactar</w:t>
      </w:r>
      <w:r w:rsidRPr="00FF2632">
        <w:rPr>
          <w:rFonts w:asciiTheme="majorHAnsi" w:hAnsiTheme="majorHAnsi"/>
          <w:sz w:val="18"/>
          <w:szCs w:val="18"/>
        </w:rPr>
        <w:t>:</w:t>
      </w:r>
    </w:p>
    <w:p w14:paraId="1DD9B6D2" w14:textId="77777777" w:rsidR="00403F33" w:rsidRPr="00FF2632" w:rsidRDefault="00403F33" w:rsidP="00403F33">
      <w:pPr>
        <w:spacing w:after="0"/>
        <w:rPr>
          <w:rFonts w:asciiTheme="majorHAnsi" w:hAnsiTheme="majorHAnsi"/>
          <w:b/>
          <w:bCs/>
          <w:sz w:val="18"/>
          <w:szCs w:val="18"/>
        </w:rPr>
      </w:pPr>
      <w:r w:rsidRPr="00FF2632">
        <w:rPr>
          <w:rFonts w:asciiTheme="majorHAnsi" w:hAnsiTheme="majorHAnsi"/>
          <w:b/>
          <w:bCs/>
          <w:sz w:val="18"/>
          <w:szCs w:val="18"/>
        </w:rPr>
        <w:t>LIFT CONSULTING</w:t>
      </w:r>
    </w:p>
    <w:p w14:paraId="444759CD" w14:textId="77777777" w:rsidR="00403F33" w:rsidRPr="00FF2632" w:rsidRDefault="00403F33" w:rsidP="00403F33">
      <w:pPr>
        <w:pStyle w:val="NormalWeb"/>
        <w:spacing w:before="0" w:beforeAutospacing="0" w:after="0" w:afterAutospacing="0"/>
        <w:rPr>
          <w:rFonts w:asciiTheme="majorHAnsi" w:hAnsiTheme="majorHAnsi"/>
          <w:sz w:val="18"/>
          <w:szCs w:val="18"/>
        </w:rPr>
      </w:pPr>
      <w:r w:rsidRPr="00FF2632">
        <w:rPr>
          <w:rFonts w:asciiTheme="majorHAnsi" w:hAnsiTheme="majorHAnsi"/>
          <w:sz w:val="18"/>
          <w:szCs w:val="18"/>
        </w:rPr>
        <w:t>Ana Santos | </w:t>
      </w:r>
      <w:hyperlink r:id="rId9" w:tgtFrame="_blank" w:tooltip="mailto:ana.santos@lift.com.pt" w:history="1">
        <w:r w:rsidRPr="00FF2632">
          <w:rPr>
            <w:rStyle w:val="Hiperligao"/>
            <w:rFonts w:asciiTheme="majorHAnsi" w:eastAsiaTheme="majorEastAsia" w:hAnsiTheme="majorHAnsi"/>
            <w:sz w:val="18"/>
            <w:szCs w:val="18"/>
          </w:rPr>
          <w:t>ana.santos@lift.com.pt</w:t>
        </w:r>
      </w:hyperlink>
      <w:r w:rsidRPr="00FF2632">
        <w:rPr>
          <w:rFonts w:asciiTheme="majorHAnsi" w:hAnsiTheme="majorHAnsi"/>
          <w:sz w:val="18"/>
          <w:szCs w:val="18"/>
        </w:rPr>
        <w:t xml:space="preserve"> | +351 914 409 595</w:t>
      </w:r>
    </w:p>
    <w:p w14:paraId="004CDA34" w14:textId="77777777" w:rsidR="00403F33" w:rsidRPr="00FF2632" w:rsidRDefault="00403F33" w:rsidP="00403F33">
      <w:pPr>
        <w:spacing w:after="0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FF2632">
        <w:rPr>
          <w:rFonts w:asciiTheme="majorHAnsi" w:hAnsiTheme="majorHAnsi"/>
          <w:sz w:val="18"/>
          <w:szCs w:val="18"/>
        </w:rPr>
        <w:t xml:space="preserve">Eunice Gaspar | </w:t>
      </w:r>
      <w:hyperlink r:id="rId10" w:history="1">
        <w:r w:rsidRPr="00FF2632">
          <w:rPr>
            <w:rStyle w:val="Hiperligao"/>
            <w:rFonts w:asciiTheme="majorHAnsi" w:hAnsiTheme="majorHAnsi"/>
            <w:sz w:val="18"/>
            <w:szCs w:val="18"/>
          </w:rPr>
          <w:t>eunice.gaspar@lift.com.pt</w:t>
        </w:r>
      </w:hyperlink>
      <w:r w:rsidRPr="00FF2632">
        <w:rPr>
          <w:rFonts w:asciiTheme="majorHAnsi" w:hAnsiTheme="majorHAnsi"/>
          <w:sz w:val="18"/>
          <w:szCs w:val="18"/>
        </w:rPr>
        <w:t xml:space="preserve"> | </w:t>
      </w:r>
      <w:r w:rsidRPr="00FF2632">
        <w:rPr>
          <w:rFonts w:asciiTheme="majorHAnsi" w:eastAsia="Times New Roman" w:hAnsiTheme="majorHAnsi" w:cs="Times New Roman"/>
          <w:kern w:val="0"/>
          <w:sz w:val="18"/>
          <w:szCs w:val="18"/>
          <w:lang w:eastAsia="pt-PT"/>
          <w14:ligatures w14:val="none"/>
        </w:rPr>
        <w:t>+351 911 774 428</w:t>
      </w:r>
    </w:p>
    <w:p w14:paraId="1F5BB05E" w14:textId="77777777" w:rsidR="00403F33" w:rsidRPr="00FF2632" w:rsidRDefault="00403F33" w:rsidP="00403F33">
      <w:pPr>
        <w:pStyle w:val="NormalWeb"/>
        <w:spacing w:before="0" w:beforeAutospacing="0" w:after="0" w:afterAutospacing="0"/>
        <w:rPr>
          <w:rFonts w:asciiTheme="majorHAnsi" w:hAnsiTheme="majorHAnsi"/>
          <w:sz w:val="18"/>
          <w:szCs w:val="18"/>
        </w:rPr>
      </w:pPr>
    </w:p>
    <w:p w14:paraId="598AE857" w14:textId="77777777" w:rsidR="00B64D23" w:rsidRDefault="00B64D23" w:rsidP="00B64D23">
      <w:pPr>
        <w:jc w:val="both"/>
        <w:rPr>
          <w:rFonts w:ascii="Arial" w:hAnsi="Arial" w:cs="Arial"/>
          <w:b/>
          <w:bCs/>
          <w:sz w:val="16"/>
          <w:szCs w:val="16"/>
          <w:lang w:val="pt-BR"/>
        </w:rPr>
      </w:pPr>
    </w:p>
    <w:p w14:paraId="41004692" w14:textId="77777777" w:rsidR="00B64D23" w:rsidRPr="00AB1C00" w:rsidRDefault="00B64D23" w:rsidP="00B64D23">
      <w:pPr>
        <w:jc w:val="both"/>
        <w:rPr>
          <w:rFonts w:ascii="Arial" w:hAnsi="Arial" w:cs="Arial"/>
          <w:sz w:val="16"/>
          <w:szCs w:val="16"/>
        </w:rPr>
      </w:pPr>
      <w:r w:rsidRPr="00AB1C00">
        <w:rPr>
          <w:rFonts w:ascii="Arial" w:hAnsi="Arial" w:cs="Arial"/>
          <w:b/>
          <w:bCs/>
          <w:sz w:val="16"/>
          <w:szCs w:val="16"/>
          <w:lang w:val="pt-BR"/>
        </w:rPr>
        <w:t>Sobre a NTT DATA</w:t>
      </w:r>
      <w:r w:rsidRPr="00AB1C00">
        <w:rPr>
          <w:rFonts w:ascii="Arial" w:hAnsi="Arial" w:cs="Arial"/>
          <w:sz w:val="16"/>
          <w:szCs w:val="16"/>
        </w:rPr>
        <w:t> </w:t>
      </w:r>
    </w:p>
    <w:p w14:paraId="42A01745" w14:textId="77777777" w:rsidR="00B64D23" w:rsidRPr="00AB1C00" w:rsidRDefault="00B64D23" w:rsidP="00B64D23">
      <w:pPr>
        <w:jc w:val="both"/>
        <w:rPr>
          <w:rFonts w:ascii="Arial" w:hAnsi="Arial" w:cs="Arial"/>
          <w:sz w:val="16"/>
          <w:szCs w:val="16"/>
        </w:rPr>
      </w:pPr>
      <w:r w:rsidRPr="00AB1C00">
        <w:rPr>
          <w:rFonts w:ascii="Arial" w:hAnsi="Arial" w:cs="Arial"/>
          <w:sz w:val="16"/>
          <w:szCs w:val="16"/>
        </w:rPr>
        <w:t>A NTT DATA é uma empresa líder em serviços de negócio e tecnologia, com receitas superiores a 30 mil milhões de dólares, que presta serviços a 75% das empresas do Fortune Global 100. Estamos comprometidos em acelerar o sucesso dos clientes e em ter um impacto positivo na sociedade através da inovação responsável.   </w:t>
      </w:r>
    </w:p>
    <w:p w14:paraId="12A98FCE" w14:textId="77777777" w:rsidR="00B64D23" w:rsidRPr="00AB1C00" w:rsidRDefault="00B64D23" w:rsidP="00B64D23">
      <w:pPr>
        <w:jc w:val="both"/>
        <w:rPr>
          <w:rFonts w:ascii="Arial" w:hAnsi="Arial" w:cs="Arial"/>
          <w:sz w:val="16"/>
          <w:szCs w:val="16"/>
        </w:rPr>
      </w:pPr>
      <w:r w:rsidRPr="00AB1C00">
        <w:rPr>
          <w:rFonts w:ascii="Arial" w:hAnsi="Arial" w:cs="Arial"/>
          <w:sz w:val="16"/>
          <w:szCs w:val="16"/>
        </w:rPr>
        <w:t>Somos um dos principais fornecedores mundiais de infraestruturas digitais e inteligência artificial, com capacidades incomparáveis em IA à escala empresarial, </w:t>
      </w:r>
      <w:proofErr w:type="spellStart"/>
      <w:r w:rsidRPr="00AB1C00">
        <w:rPr>
          <w:rFonts w:ascii="Arial" w:hAnsi="Arial" w:cs="Arial"/>
          <w:i/>
          <w:iCs/>
          <w:sz w:val="16"/>
          <w:szCs w:val="16"/>
        </w:rPr>
        <w:t>cloud</w:t>
      </w:r>
      <w:proofErr w:type="spellEnd"/>
      <w:r w:rsidRPr="00AB1C00">
        <w:rPr>
          <w:rFonts w:ascii="Arial" w:hAnsi="Arial" w:cs="Arial"/>
          <w:i/>
          <w:iCs/>
          <w:sz w:val="16"/>
          <w:szCs w:val="16"/>
        </w:rPr>
        <w:t>,</w:t>
      </w:r>
      <w:r w:rsidRPr="00AB1C00">
        <w:rPr>
          <w:rFonts w:ascii="Arial" w:hAnsi="Arial" w:cs="Arial"/>
          <w:sz w:val="16"/>
          <w:szCs w:val="16"/>
        </w:rPr>
        <w:t> segurança, conectividade, centros de dados e serviços de aplicações. As nossas soluções de consultoria e de especialização setorial ajudam organizações e comunidades a avançar com confiança e sustentabilidade em direção ao futuro digital.   </w:t>
      </w:r>
    </w:p>
    <w:p w14:paraId="0DFE8E3B" w14:textId="77777777" w:rsidR="00B64D23" w:rsidRPr="00AB1C00" w:rsidRDefault="00B64D23" w:rsidP="00B64D23">
      <w:pPr>
        <w:jc w:val="both"/>
        <w:rPr>
          <w:rFonts w:ascii="Arial" w:hAnsi="Arial" w:cs="Arial"/>
          <w:sz w:val="16"/>
          <w:szCs w:val="16"/>
        </w:rPr>
      </w:pPr>
      <w:r w:rsidRPr="00AB1C00">
        <w:rPr>
          <w:rFonts w:ascii="Arial" w:hAnsi="Arial" w:cs="Arial"/>
          <w:sz w:val="16"/>
          <w:szCs w:val="16"/>
        </w:rPr>
        <w:t>Como </w:t>
      </w:r>
      <w:r w:rsidRPr="00AB1C00">
        <w:rPr>
          <w:rFonts w:ascii="Arial" w:hAnsi="Arial" w:cs="Arial"/>
          <w:i/>
          <w:iCs/>
          <w:sz w:val="16"/>
          <w:szCs w:val="16"/>
        </w:rPr>
        <w:t>Global Top </w:t>
      </w:r>
      <w:proofErr w:type="spellStart"/>
      <w:r w:rsidRPr="00AB1C00">
        <w:rPr>
          <w:rFonts w:ascii="Arial" w:hAnsi="Arial" w:cs="Arial"/>
          <w:i/>
          <w:iCs/>
          <w:sz w:val="16"/>
          <w:szCs w:val="16"/>
        </w:rPr>
        <w:t>Employer</w:t>
      </w:r>
      <w:proofErr w:type="spellEnd"/>
      <w:r w:rsidRPr="00AB1C00">
        <w:rPr>
          <w:rFonts w:ascii="Arial" w:hAnsi="Arial" w:cs="Arial"/>
          <w:sz w:val="16"/>
          <w:szCs w:val="16"/>
        </w:rPr>
        <w:t>, contamos com especialistas em mais de 70 países. Oferecemos também aos nossos clientes acesso a um ecossistema robusto de centros de inovação, bem como a parceiros consolidados e </w:t>
      </w:r>
      <w:proofErr w:type="spellStart"/>
      <w:r w:rsidRPr="00AB1C00">
        <w:rPr>
          <w:rFonts w:ascii="Arial" w:hAnsi="Arial" w:cs="Arial"/>
          <w:i/>
          <w:iCs/>
          <w:sz w:val="16"/>
          <w:szCs w:val="16"/>
        </w:rPr>
        <w:t>startups</w:t>
      </w:r>
      <w:proofErr w:type="spellEnd"/>
      <w:r w:rsidRPr="00AB1C00">
        <w:rPr>
          <w:rFonts w:ascii="Arial" w:hAnsi="Arial" w:cs="Arial"/>
          <w:sz w:val="16"/>
          <w:szCs w:val="16"/>
        </w:rPr>
        <w:t>. A NTT DATA faz parte do Grupo NTT, que investe mais de 3 mil milhões de dólares por ano em investigação e desenvolvimento.   </w:t>
      </w:r>
    </w:p>
    <w:p w14:paraId="79A33057" w14:textId="77777777" w:rsidR="00B64D23" w:rsidRPr="00AB1C00" w:rsidRDefault="00B64D23" w:rsidP="00B64D23">
      <w:pPr>
        <w:jc w:val="both"/>
        <w:rPr>
          <w:rFonts w:ascii="Arial" w:hAnsi="Arial" w:cs="Arial"/>
          <w:sz w:val="16"/>
          <w:szCs w:val="16"/>
        </w:rPr>
      </w:pPr>
      <w:r w:rsidRPr="00AB1C00">
        <w:rPr>
          <w:rFonts w:ascii="Arial" w:hAnsi="Arial" w:cs="Arial"/>
          <w:sz w:val="16"/>
          <w:szCs w:val="16"/>
        </w:rPr>
        <w:t>Saiba mais em nttdata.com   </w:t>
      </w:r>
    </w:p>
    <w:p w14:paraId="6EA8B73F" w14:textId="77777777" w:rsidR="00B64D23" w:rsidRPr="00D663F4" w:rsidRDefault="00B64D23" w:rsidP="00A37D00">
      <w:pPr>
        <w:spacing w:after="0" w:line="240" w:lineRule="auto"/>
        <w:jc w:val="both"/>
      </w:pPr>
    </w:p>
    <w:p w14:paraId="4F31DAA7" w14:textId="77777777" w:rsidR="00403F33" w:rsidRDefault="00403F33">
      <w:pPr>
        <w:spacing w:after="0" w:line="240" w:lineRule="auto"/>
        <w:jc w:val="both"/>
      </w:pPr>
    </w:p>
    <w:sectPr w:rsidR="00403F33" w:rsidSect="003C76D3">
      <w:headerReference w:type="default" r:id="rId11"/>
      <w:pgSz w:w="11906" w:h="16838"/>
      <w:pgMar w:top="1417" w:right="1133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AE3F9" w14:textId="77777777" w:rsidR="00D931AB" w:rsidRDefault="00D931AB" w:rsidP="00D34570">
      <w:pPr>
        <w:spacing w:after="0" w:line="240" w:lineRule="auto"/>
      </w:pPr>
      <w:r>
        <w:separator/>
      </w:r>
    </w:p>
  </w:endnote>
  <w:endnote w:type="continuationSeparator" w:id="0">
    <w:p w14:paraId="64609753" w14:textId="77777777" w:rsidR="00D931AB" w:rsidRDefault="00D931AB" w:rsidP="00D34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0EFF" w:usb1="0000785B" w:usb2="0000000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9AA8D" w14:textId="77777777" w:rsidR="00D931AB" w:rsidRDefault="00D931AB" w:rsidP="00D34570">
      <w:pPr>
        <w:spacing w:after="0" w:line="240" w:lineRule="auto"/>
      </w:pPr>
      <w:r>
        <w:separator/>
      </w:r>
    </w:p>
  </w:footnote>
  <w:footnote w:type="continuationSeparator" w:id="0">
    <w:p w14:paraId="5DC05064" w14:textId="77777777" w:rsidR="00D931AB" w:rsidRDefault="00D931AB" w:rsidP="00D34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6AA40" w14:textId="77777777" w:rsidR="00D34570" w:rsidRPr="00152490" w:rsidRDefault="00D34570" w:rsidP="00D34570">
    <w:pPr>
      <w:pStyle w:val="Cabealho"/>
      <w:rPr>
        <w:sz w:val="20"/>
        <w:szCs w:val="20"/>
      </w:rPr>
    </w:pPr>
    <w:r w:rsidRPr="00152490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1EFE418E" wp14:editId="1B259D89">
          <wp:simplePos x="0" y="0"/>
          <wp:positionH relativeFrom="column">
            <wp:posOffset>3765550</wp:posOffset>
          </wp:positionH>
          <wp:positionV relativeFrom="paragraph">
            <wp:posOffset>-178435</wp:posOffset>
          </wp:positionV>
          <wp:extent cx="1631950" cy="431800"/>
          <wp:effectExtent l="0" t="0" r="0" b="0"/>
          <wp:wrapTight wrapText="bothSides">
            <wp:wrapPolygon edited="0">
              <wp:start x="2269" y="1906"/>
              <wp:lineTo x="1513" y="7624"/>
              <wp:lineTo x="1513" y="13341"/>
              <wp:lineTo x="2521" y="20012"/>
              <wp:lineTo x="4791" y="20012"/>
              <wp:lineTo x="19919" y="15247"/>
              <wp:lineTo x="19919" y="5718"/>
              <wp:lineTo x="5295" y="1906"/>
              <wp:lineTo x="2269" y="1906"/>
            </wp:wrapPolygon>
          </wp:wrapTight>
          <wp:docPr id="612002471" name="Imagem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5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2490">
      <w:rPr>
        <w:sz w:val="20"/>
        <w:szCs w:val="20"/>
      </w:rPr>
      <w:t>Comunicado de imprensa</w:t>
    </w:r>
  </w:p>
  <w:p w14:paraId="046DE0C7" w14:textId="77777777" w:rsidR="00D34570" w:rsidRDefault="00D3457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3F4"/>
    <w:rsid w:val="000F6470"/>
    <w:rsid w:val="001D3F83"/>
    <w:rsid w:val="002625B6"/>
    <w:rsid w:val="00365067"/>
    <w:rsid w:val="003858E0"/>
    <w:rsid w:val="003C76D3"/>
    <w:rsid w:val="00403F33"/>
    <w:rsid w:val="004614B1"/>
    <w:rsid w:val="004A6655"/>
    <w:rsid w:val="00573365"/>
    <w:rsid w:val="00575205"/>
    <w:rsid w:val="005760F4"/>
    <w:rsid w:val="00664D16"/>
    <w:rsid w:val="00705E9E"/>
    <w:rsid w:val="00724D6C"/>
    <w:rsid w:val="007501E7"/>
    <w:rsid w:val="00775468"/>
    <w:rsid w:val="00811385"/>
    <w:rsid w:val="00854271"/>
    <w:rsid w:val="00866264"/>
    <w:rsid w:val="008F7C3D"/>
    <w:rsid w:val="00960E80"/>
    <w:rsid w:val="0099071E"/>
    <w:rsid w:val="009B0B71"/>
    <w:rsid w:val="00A37D00"/>
    <w:rsid w:val="00A8591A"/>
    <w:rsid w:val="00B64D23"/>
    <w:rsid w:val="00D34570"/>
    <w:rsid w:val="00D44C9A"/>
    <w:rsid w:val="00D663F4"/>
    <w:rsid w:val="00D931AB"/>
    <w:rsid w:val="00EA1249"/>
    <w:rsid w:val="00EB39A9"/>
    <w:rsid w:val="00EE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1A131"/>
  <w15:chartTrackingRefBased/>
  <w15:docId w15:val="{D8D25EEC-1071-47E6-9B34-AC5121AA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D66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66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663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66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663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D66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D66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D66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D66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663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D663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663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D663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D663F4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D663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D663F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D663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D663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D66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66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66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66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D66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D663F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63F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D663F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D66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D663F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D663F4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D663F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663F4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D345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34570"/>
  </w:style>
  <w:style w:type="paragraph" w:styleId="Rodap">
    <w:name w:val="footer"/>
    <w:basedOn w:val="Normal"/>
    <w:link w:val="RodapCarter"/>
    <w:uiPriority w:val="99"/>
    <w:unhideWhenUsed/>
    <w:rsid w:val="00D345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34570"/>
  </w:style>
  <w:style w:type="paragraph" w:styleId="Reviso">
    <w:name w:val="Revision"/>
    <w:hidden/>
    <w:uiPriority w:val="99"/>
    <w:semiHidden/>
    <w:rsid w:val="00664D1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03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eunice.gaspar@lift.com.pt" TargetMode="External"/><Relationship Id="rId4" Type="http://schemas.openxmlformats.org/officeDocument/2006/relationships/styles" Target="styles.xml"/><Relationship Id="rId9" Type="http://schemas.openxmlformats.org/officeDocument/2006/relationships/hyperlink" Target="mailto:ana.santos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d4967f-e124-43f3-a68f-dac69c34bad6">
      <Terms xmlns="http://schemas.microsoft.com/office/infopath/2007/PartnerControls"/>
    </lcf76f155ced4ddcb4097134ff3c332f>
    <TaxCatchAll xmlns="c17badae-82f5-44c6-a5ed-7d84be8fc9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4439792540114CACC1B0E6A3C20D03" ma:contentTypeVersion="19" ma:contentTypeDescription="Create a new document." ma:contentTypeScope="" ma:versionID="615f1fa2ce061b9dd3044f5f2855b2f9">
  <xsd:schema xmlns:xsd="http://www.w3.org/2001/XMLSchema" xmlns:xs="http://www.w3.org/2001/XMLSchema" xmlns:p="http://schemas.microsoft.com/office/2006/metadata/properties" xmlns:ns2="92d4967f-e124-43f3-a68f-dac69c34bad6" xmlns:ns3="c17badae-82f5-44c6-a5ed-7d84be8fc952" targetNamespace="http://schemas.microsoft.com/office/2006/metadata/properties" ma:root="true" ma:fieldsID="1edd21545525e1513e275211c9b4e08a" ns2:_="" ns3:_="">
    <xsd:import namespace="92d4967f-e124-43f3-a68f-dac69c34bad6"/>
    <xsd:import namespace="c17badae-82f5-44c6-a5ed-7d84be8fc9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4967f-e124-43f3-a68f-dac69c34b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badae-82f5-44c6-a5ed-7d84be8fc95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bd9501-ea29-4620-9619-61cd4248534c}" ma:internalName="TaxCatchAll" ma:showField="CatchAllData" ma:web="c17badae-82f5-44c6-a5ed-7d84be8fc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78ECFC-71AF-4DEA-A492-333ED89DE81B}">
  <ds:schemaRefs>
    <ds:schemaRef ds:uri="http://schemas.microsoft.com/office/2006/metadata/properties"/>
    <ds:schemaRef ds:uri="http://schemas.microsoft.com/office/infopath/2007/PartnerControls"/>
    <ds:schemaRef ds:uri="92d4967f-e124-43f3-a68f-dac69c34bad6"/>
    <ds:schemaRef ds:uri="c17badae-82f5-44c6-a5ed-7d84be8fc952"/>
  </ds:schemaRefs>
</ds:datastoreItem>
</file>

<file path=customXml/itemProps2.xml><?xml version="1.0" encoding="utf-8"?>
<ds:datastoreItem xmlns:ds="http://schemas.openxmlformats.org/officeDocument/2006/customXml" ds:itemID="{9C2B8720-A467-4C0B-8473-A4E428AC6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4967f-e124-43f3-a68f-dac69c34bad6"/>
    <ds:schemaRef ds:uri="c17badae-82f5-44c6-a5ed-7d84be8fc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C7A923-AE2E-460E-A5F9-9FC614FF57F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048dc87-43f0-4100-9acb-ae1971c79395}" enabled="0" method="" siteId="{3048dc87-43f0-4100-9acb-ae1971c793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1269</Words>
  <Characters>7198</Characters>
  <Application>Microsoft Office Word</Application>
  <DocSecurity>0</DocSecurity>
  <Lines>122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NTT Data</Company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Figueiredo Augusto</dc:creator>
  <cp:keywords/>
  <dc:description/>
  <cp:lastModifiedBy>Ana Santos</cp:lastModifiedBy>
  <cp:revision>6</cp:revision>
  <dcterms:created xsi:type="dcterms:W3CDTF">2026-06-11T14:21:00Z</dcterms:created>
  <dcterms:modified xsi:type="dcterms:W3CDTF">2026-06-11T14:36:00Z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0x010100C64439792540114CACC1B0E6A3C20D03</vt:lpwstr>
  </property>
</Properties>
</file>