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1442" w14:textId="3B40C709" w:rsidR="00BC15B8" w:rsidRPr="00BC15B8" w:rsidRDefault="0E322CAE" w:rsidP="4777E5FB">
      <w:pPr>
        <w:spacing w:before="100" w:beforeAutospacing="1" w:after="100" w:afterAutospacing="1" w:line="240" w:lineRule="auto"/>
        <w:jc w:val="center"/>
        <w:outlineLvl w:val="0"/>
        <w:rPr>
          <w:rFonts w:eastAsiaTheme="minorEastAsia"/>
          <w:b/>
          <w:bCs/>
          <w:kern w:val="36"/>
          <w:lang w:val="pt-BR" w:eastAsia="es-AR"/>
          <w14:ligatures w14:val="none"/>
        </w:rPr>
      </w:pPr>
      <w:r w:rsidRPr="4777E5FB">
        <w:rPr>
          <w:rFonts w:eastAsiaTheme="minorEastAsia"/>
          <w:b/>
          <w:bCs/>
          <w:kern w:val="36"/>
          <w:lang w:val="pt-BR" w:eastAsia="es-AR"/>
          <w14:ligatures w14:val="none"/>
        </w:rPr>
        <w:t xml:space="preserve">NTT DATA amplia colaboração com </w:t>
      </w:r>
      <w:r w:rsidR="36981BDA" w:rsidRPr="4777E5FB">
        <w:rPr>
          <w:rFonts w:eastAsiaTheme="minorEastAsia"/>
          <w:b/>
          <w:bCs/>
          <w:kern w:val="36"/>
          <w:lang w:val="pt-BR" w:eastAsia="es-AR"/>
          <w14:ligatures w14:val="none"/>
        </w:rPr>
        <w:t xml:space="preserve">a </w:t>
      </w:r>
      <w:r w:rsidRPr="4777E5FB">
        <w:rPr>
          <w:rFonts w:eastAsiaTheme="minorEastAsia"/>
          <w:b/>
          <w:bCs/>
          <w:kern w:val="36"/>
          <w:lang w:val="pt-BR" w:eastAsia="es-AR"/>
          <w14:ligatures w14:val="none"/>
        </w:rPr>
        <w:t>Google Cloud para acelerar a adoção de IA empresarial, dos projetos-piloto à produção</w:t>
      </w:r>
    </w:p>
    <w:p w14:paraId="5DDD3F83" w14:textId="77777777" w:rsidR="00BC15B8" w:rsidRPr="00B43567" w:rsidRDefault="0E322CAE" w:rsidP="007A4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8" w:hanging="360"/>
        <w:jc w:val="both"/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</w:pPr>
      <w:r w:rsidRPr="4777E5FB"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  <w:t>• A colaboração combina o Gemini Enterprise e os serviços da NTT DATA em estratégia,</w:t>
      </w:r>
    </w:p>
    <w:p w14:paraId="0B77299B" w14:textId="5942CFFE" w:rsidR="00BC15B8" w:rsidRPr="00B43567" w:rsidRDefault="0E322CAE" w:rsidP="007A4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8" w:hanging="360"/>
        <w:jc w:val="both"/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</w:pPr>
      <w:r w:rsidRPr="4777E5FB"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  <w:t>implementação, adoção e serviços ger</w:t>
      </w:r>
      <w:r w:rsidR="36981BDA" w:rsidRPr="4777E5FB"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  <w:t>ido</w:t>
      </w:r>
      <w:r w:rsidRPr="4777E5FB"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  <w:t>s.</w:t>
      </w:r>
    </w:p>
    <w:p w14:paraId="34FF581A" w14:textId="7332371C" w:rsidR="00BC15B8" w:rsidRPr="00B43567" w:rsidRDefault="0E322CAE" w:rsidP="007A4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8" w:hanging="360"/>
        <w:jc w:val="both"/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</w:pPr>
      <w:r w:rsidRPr="4777E5FB"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  <w:t xml:space="preserve">• A NTT DATA </w:t>
      </w:r>
      <w:r w:rsidR="36981BDA" w:rsidRPr="4777E5FB"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  <w:t xml:space="preserve">vai </w:t>
      </w:r>
      <w:r w:rsidRPr="4777E5FB"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  <w:t>estabelecer</w:t>
      </w:r>
      <w:r w:rsidR="36981BDA" w:rsidRPr="4777E5FB"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  <w:t xml:space="preserve"> </w:t>
      </w:r>
      <w:r w:rsidRPr="4777E5FB"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  <w:t>uma prática especializada em Gemini Enterprise com o</w:t>
      </w:r>
    </w:p>
    <w:p w14:paraId="7583DC13" w14:textId="68792654" w:rsidR="00BC15B8" w:rsidRPr="00B43567" w:rsidRDefault="0E322CAE" w:rsidP="007A4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8" w:hanging="360"/>
        <w:jc w:val="both"/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</w:pPr>
      <w:r w:rsidRPr="4777E5FB"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  <w:t xml:space="preserve">objetivo de </w:t>
      </w:r>
      <w:r w:rsidR="36981BDA" w:rsidRPr="4777E5FB"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  <w:t>ter</w:t>
      </w:r>
      <w:r w:rsidRPr="4777E5FB"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  <w:t xml:space="preserve"> 5.000 especialistas certificados.</w:t>
      </w:r>
    </w:p>
    <w:p w14:paraId="1B687172" w14:textId="2A5F154F" w:rsidR="00BC15B8" w:rsidRPr="00B43567" w:rsidRDefault="0E322CAE" w:rsidP="007A4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8" w:hanging="360"/>
        <w:jc w:val="both"/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</w:pPr>
      <w:r w:rsidRPr="4777E5FB"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  <w:t xml:space="preserve">• A NTT DATA e </w:t>
      </w:r>
      <w:r w:rsidR="36981BDA" w:rsidRPr="4777E5FB"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  <w:t xml:space="preserve">a </w:t>
      </w:r>
      <w:r w:rsidRPr="4777E5FB"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  <w:t xml:space="preserve">Google Cloud </w:t>
      </w:r>
      <w:r w:rsidR="36981BDA" w:rsidRPr="4777E5FB"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  <w:t>v</w:t>
      </w:r>
      <w:r w:rsidRPr="4777E5FB"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  <w:t xml:space="preserve">ão co-inovar e </w:t>
      </w:r>
      <w:r w:rsidR="36981BDA" w:rsidRPr="4777E5FB"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  <w:t xml:space="preserve">lançar </w:t>
      </w:r>
      <w:r w:rsidRPr="4777E5FB"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  <w:t>até 500 agentes de IA para</w:t>
      </w:r>
    </w:p>
    <w:p w14:paraId="5E9EAAA7" w14:textId="35E132D9" w:rsidR="00BC15B8" w:rsidRPr="00B43567" w:rsidRDefault="0E322CAE" w:rsidP="007A4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8" w:hanging="360"/>
        <w:jc w:val="both"/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</w:pPr>
      <w:r w:rsidRPr="4777E5FB">
        <w:rPr>
          <w:rFonts w:eastAsiaTheme="minorEastAsia"/>
          <w:kern w:val="0"/>
          <w:sz w:val="20"/>
          <w:szCs w:val="20"/>
          <w:lang w:val="pt-BR" w:eastAsia="es-AR"/>
          <w14:ligatures w14:val="none"/>
        </w:rPr>
        <w:t>diferentes casos de uso em diversos setores.</w:t>
      </w:r>
    </w:p>
    <w:p w14:paraId="0805BC49" w14:textId="3466F3B8" w:rsidR="00BC15B8" w:rsidRPr="00BC15B8" w:rsidRDefault="007A43FD" w:rsidP="4777E5FB">
      <w:pPr>
        <w:spacing w:before="100" w:beforeAutospacing="1" w:after="100" w:afterAutospacing="1" w:line="240" w:lineRule="auto"/>
        <w:jc w:val="both"/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</w:pPr>
      <w:r w:rsidRPr="00CE3155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 xml:space="preserve">Lisboa, </w:t>
      </w:r>
      <w:r w:rsidR="001E2B99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>18</w:t>
      </w:r>
      <w:r w:rsidRPr="00CE3155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 xml:space="preserve"> de junho de 2026 -</w:t>
      </w:r>
      <w:r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</w:t>
      </w:r>
      <w:r w:rsidR="0E322CAE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A NTT DATA, líder global em serviços de inteligência artificial, negócio e tecnologia, anunciou hoje </w:t>
      </w:r>
      <w:r w:rsidR="36981BDA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uma </w:t>
      </w:r>
      <w:r w:rsidR="0E322CAE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colaboração</w:t>
      </w:r>
      <w:r w:rsidR="36981BDA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alargada</w:t>
      </w:r>
      <w:r w:rsidR="0E322CAE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com </w:t>
      </w:r>
      <w:r w:rsidR="36981BDA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a </w:t>
      </w:r>
      <w:r w:rsidR="0E322CAE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Google Cloud para ajudar as empresas a avançarem da experimentação com IA para a implementação em larga escala de soluções de IA agêntica desenvolvidas com o Gemini Enterprise. A colaboração está focada em </w:t>
      </w:r>
      <w:r w:rsidR="36981BDA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acelerar </w:t>
      </w:r>
      <w:r w:rsidR="0E322CAE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a reinvenção baseada em IA, ajudando as organizações a redesenharem processos, modelos operacionais e experiências </w:t>
      </w:r>
      <w:r w:rsidR="36981BDA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de </w:t>
      </w:r>
      <w:r w:rsidR="0E322CAE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cliente </w:t>
      </w:r>
      <w:r w:rsidR="36981BDA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através</w:t>
      </w:r>
      <w:r w:rsidR="0E322CAE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do uso de agentes inteligentes.</w:t>
      </w:r>
    </w:p>
    <w:p w14:paraId="5F14FA69" w14:textId="2B04B788" w:rsidR="00BC15B8" w:rsidRPr="00BC15B8" w:rsidRDefault="0E322CAE" w:rsidP="4777E5FB">
      <w:pPr>
        <w:spacing w:before="100" w:beforeAutospacing="1" w:after="100" w:afterAutospacing="1" w:line="240" w:lineRule="auto"/>
        <w:jc w:val="both"/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</w:pP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A iniciativa combina os recursos de inteligência artificial, dados e plataforma </w:t>
      </w:r>
      <w:r w:rsidR="5B740272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cloud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</w:t>
      </w:r>
      <w:r w:rsidR="5B740272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da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Google Cloud com a escala global de entrega e a profunda experiência setorial da NTT DATA </w:t>
      </w:r>
      <w:r w:rsidR="5B740272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nos domínios de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estratégia, implementação, adoção, serviços </w:t>
      </w:r>
      <w:r w:rsidR="5B740272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geridos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e geração de valor. Juntas, as duas empresas </w:t>
      </w:r>
      <w:r w:rsidR="5B740272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vão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ajudar</w:t>
      </w:r>
      <w:r w:rsidR="5B740272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os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clientes a incorporar a IA </w:t>
      </w:r>
      <w:r w:rsidR="5B740272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nos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principais fluxos de trabalho, melhorar a produtividade, acelerar </w:t>
      </w:r>
      <w:r w:rsidR="18B84455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a geração de valor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e garantir governança, segurança, conformidade regulatória e uso responsável da IA.</w:t>
      </w:r>
    </w:p>
    <w:p w14:paraId="42D76955" w14:textId="4403B438" w:rsidR="00BC15B8" w:rsidRPr="00BC15B8" w:rsidRDefault="5B740272" w:rsidP="4777E5FB">
      <w:pPr>
        <w:spacing w:before="100" w:beforeAutospacing="1" w:after="100" w:afterAutospacing="1" w:line="240" w:lineRule="auto"/>
        <w:jc w:val="both"/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</w:pP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No contexto</w:t>
      </w:r>
      <w:r w:rsidR="0E322CAE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des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t</w:t>
      </w:r>
      <w:r w:rsidR="0E322CAE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a colaboração, a NTT DATA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vai </w:t>
      </w:r>
      <w:r w:rsidR="0E322CAE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estabelecer uma prática global dedicada ao Gemini Enterprise, apoiada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pelo </w:t>
      </w:r>
      <w:r w:rsidR="0E322CAE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planeamento conjunto de negócios, capacitação técnica,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formação</w:t>
      </w:r>
      <w:r w:rsidR="0E322CAE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, certificações, suporte de engenharia e investimentos coordenados de go-to-market. A empresa tem como objetivo certificar 5.000 especialistas em Gemini Enterprise em todo o mundo.</w:t>
      </w:r>
    </w:p>
    <w:p w14:paraId="134693ED" w14:textId="090F182A" w:rsidR="00BC15B8" w:rsidRPr="00BC15B8" w:rsidRDefault="0E322CAE" w:rsidP="4777E5FB">
      <w:pPr>
        <w:spacing w:before="100" w:beforeAutospacing="1" w:after="100" w:afterAutospacing="1" w:line="240" w:lineRule="auto"/>
        <w:jc w:val="both"/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</w:pP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A prática Gemini Enterprise da NTT DATA </w:t>
      </w:r>
      <w:r w:rsidR="5B740272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vai permitir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que os clientes acelerem a implementação, ampliem a adoção e criem caminhos mais consistentes para a geração de valor de negócios </w:t>
      </w:r>
      <w:r w:rsidR="5B740272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através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do Gemini Enterprise. Isso inclui um roadmap conjunto para co-inovar até 500 agentes de IA destinados tanto a casos de uso horizontais quanto específicos por setor, criando componentes reutilizáveis que facilitem uma adoção rápida e escalável da inteligência artificial.</w:t>
      </w:r>
    </w:p>
    <w:p w14:paraId="15A5A625" w14:textId="34DF99E2" w:rsidR="00BC15B8" w:rsidRPr="00BC15B8" w:rsidRDefault="0E322CAE" w:rsidP="4777E5FB">
      <w:pPr>
        <w:spacing w:before="100" w:beforeAutospacing="1" w:after="100" w:afterAutospacing="1" w:line="240" w:lineRule="auto"/>
        <w:jc w:val="both"/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</w:pP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A NTT DATA </w:t>
      </w:r>
      <w:r w:rsidR="5B740272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vai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projetar, desenvolver e implementar rapidamente soluções de IA em diferentes processos empresariais. </w:t>
      </w:r>
      <w:r w:rsidR="5B740272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Este alargamento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da colaboração com o Google Cloud representa um novo modelo de impl</w:t>
      </w:r>
      <w:r w:rsidR="5B740272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eme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ntação de IA corporativa, que combina inovação tecnológica, excelência em engenharia e experiência setorial </w:t>
      </w:r>
      <w:r w:rsidR="5B740272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n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uma abordagem única e integrada.</w:t>
      </w:r>
    </w:p>
    <w:p w14:paraId="0EE39204" w14:textId="65CE9980" w:rsidR="00BC15B8" w:rsidRPr="00BC15B8" w:rsidRDefault="0E322CAE" w:rsidP="4777E5FB">
      <w:pPr>
        <w:spacing w:before="100" w:beforeAutospacing="1" w:after="100" w:afterAutospacing="1" w:line="240" w:lineRule="auto"/>
        <w:jc w:val="both"/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</w:pP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Ambas as empresas </w:t>
      </w:r>
      <w:r w:rsidR="5B740272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vão promover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o trabalho conjunto de milhares de engenheiros especializados em IA, engenheiros </w:t>
      </w:r>
      <w:r w:rsidR="18B84455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integrados nas equipas dos</w:t>
      </w:r>
      <w:r w:rsidR="5B740272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clientes (“forward-deployed engineers”) e especialistas de diferentes setores, formando </w:t>
      </w:r>
      <w:r w:rsidR="5B740272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equipas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integradas de co-inovação para desenvolver soluções de IA em escala empresarial.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Estas equipas vão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trabalhar diretamente com os clientes para acelerar o desenvolvimento de soluções, apoiar </w:t>
      </w:r>
      <w:r w:rsidR="18B84455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os processos de implementação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e resolver desafios técnicos complexos em tempo real, reduzindo o tempo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necessário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para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a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geração de valor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,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acelerando a adoção em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ambiente de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produção.</w:t>
      </w:r>
    </w:p>
    <w:p w14:paraId="4B655C40" w14:textId="47A4057A" w:rsidR="00BC15B8" w:rsidRPr="00BC15B8" w:rsidRDefault="0E322CAE" w:rsidP="4777E5FB">
      <w:pPr>
        <w:spacing w:before="100" w:beforeAutospacing="1" w:after="100" w:afterAutospacing="1" w:line="240" w:lineRule="auto"/>
        <w:jc w:val="both"/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</w:pP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lastRenderedPageBreak/>
        <w:t xml:space="preserve">A iniciativa apoiará o desenvolvimento de agentes de IA para uma ampla gama de serviços industriais, tecnológicos e de negócio, incluindo a reinvenção de processos em setores como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banca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, seguros,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indústria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e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retalho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; a aceleração da migração para a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cloud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e do desenvolvimento de software; bem como a otimização do desempenho de marketing, compras e operações financeiras.</w:t>
      </w:r>
    </w:p>
    <w:p w14:paraId="0A90D0F4" w14:textId="77777777" w:rsidR="00BC15B8" w:rsidRPr="00BC15B8" w:rsidRDefault="0E322CAE" w:rsidP="4777E5FB">
      <w:pPr>
        <w:spacing w:before="100" w:beforeAutospacing="1" w:after="100" w:afterAutospacing="1" w:line="240" w:lineRule="auto"/>
        <w:jc w:val="both"/>
        <w:outlineLvl w:val="1"/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</w:pPr>
      <w:r w:rsidRPr="4777E5FB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>Componentes-chave do programa</w:t>
      </w:r>
    </w:p>
    <w:p w14:paraId="33661CA5" w14:textId="769E5C8F" w:rsidR="00BC15B8" w:rsidRPr="00B43567" w:rsidRDefault="0E322CAE" w:rsidP="4777E5FB">
      <w:pPr>
        <w:spacing w:before="100" w:beforeAutospacing="1" w:after="100" w:afterAutospacing="1" w:line="240" w:lineRule="auto"/>
        <w:jc w:val="both"/>
        <w:outlineLvl w:val="2"/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</w:pPr>
      <w:r w:rsidRPr="4777E5FB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>• Desenvolvimento e impl</w:t>
      </w:r>
      <w:r w:rsidR="370AF2E0" w:rsidRPr="4777E5FB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>emen</w:t>
      </w:r>
      <w:r w:rsidRPr="4777E5FB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>tação industrializada de agentes</w:t>
      </w:r>
      <w:r w:rsidR="3CEBA1A0" w:rsidRPr="4777E5FB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 xml:space="preserve">: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Um modelo global de fábrica que combina ativos reutilizáveis, talento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especializado em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engenharia e processos de co-inovação para projetar, desenvolver e escalar agentes de IA em diferentes processos empresariais.</w:t>
      </w:r>
    </w:p>
    <w:p w14:paraId="2E27A592" w14:textId="4D7E2C9C" w:rsidR="00BC15B8" w:rsidRPr="00B43567" w:rsidRDefault="0E322CAE" w:rsidP="4777E5FB">
      <w:pPr>
        <w:spacing w:before="100" w:beforeAutospacing="1" w:after="100" w:afterAutospacing="1" w:line="240" w:lineRule="auto"/>
        <w:jc w:val="both"/>
        <w:outlineLvl w:val="2"/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</w:pPr>
      <w:r w:rsidRPr="4777E5FB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 xml:space="preserve">• </w:t>
      </w:r>
      <w:r w:rsidR="370AF2E0" w:rsidRPr="4777E5FB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 xml:space="preserve">Equipas </w:t>
      </w:r>
      <w:r w:rsidRPr="4777E5FB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>conjuntas de engenharia e inovação</w:t>
      </w:r>
      <w:r w:rsidR="3CEBA1A0" w:rsidRPr="4777E5FB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 xml:space="preserve">: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Equipas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integradas de especialistas da NTT DATA e engenheiros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da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Google Cloud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vão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trabalha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r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lado a lado para prototipar, desenvolver e escalar casos de uso de alto valor.</w:t>
      </w:r>
    </w:p>
    <w:p w14:paraId="38BEC66A" w14:textId="41E3C0DB" w:rsidR="00BC15B8" w:rsidRPr="00B43567" w:rsidRDefault="0E322CAE" w:rsidP="4777E5FB">
      <w:pPr>
        <w:spacing w:before="100" w:beforeAutospacing="1" w:after="100" w:afterAutospacing="1" w:line="240" w:lineRule="auto"/>
        <w:jc w:val="both"/>
        <w:outlineLvl w:val="2"/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</w:pPr>
      <w:r w:rsidRPr="4777E5FB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 xml:space="preserve">• IA soberana, segura e em conformidade </w:t>
      </w:r>
      <w:r w:rsidR="370AF2E0" w:rsidRPr="4777E5FB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 xml:space="preserve">regulatória </w:t>
      </w:r>
      <w:r w:rsidRPr="4777E5FB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>desde a conceção</w:t>
      </w:r>
      <w:r w:rsidR="3CEBA1A0" w:rsidRPr="4777E5FB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 xml:space="preserve">: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Suporte para implementações de IA soberana que atendam aos requisitos de residência de dados, regulamentação e conformidade, aproveitando os recursos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da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Google Cloud juntamente com a liderança global da NTT DATA em data centers e serviços geridos.</w:t>
      </w:r>
    </w:p>
    <w:p w14:paraId="57E5AFF4" w14:textId="7CB5323D" w:rsidR="00BC15B8" w:rsidRPr="00B43567" w:rsidRDefault="0E322CAE" w:rsidP="4777E5FB">
      <w:pPr>
        <w:spacing w:before="100" w:beforeAutospacing="1" w:after="100" w:afterAutospacing="1" w:line="240" w:lineRule="auto"/>
        <w:jc w:val="both"/>
        <w:outlineLvl w:val="2"/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</w:pPr>
      <w:r w:rsidRPr="4777E5FB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>• Soluções de agentes pré-configurados e específicos por setor</w:t>
      </w:r>
      <w:r w:rsidR="3CEBA1A0" w:rsidRPr="4777E5FB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 xml:space="preserve">: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Um catálogo em expansão de agentes de IA e aceleradores reutilizáveis projetados para setores específicos, com o objetivo de acelerar impl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emen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tações, reduzir riscos e diminuir o tempo para geração de valor.</w:t>
      </w:r>
    </w:p>
    <w:p w14:paraId="219BFAC9" w14:textId="027E9643" w:rsidR="00BC15B8" w:rsidRPr="001E2B99" w:rsidRDefault="0E322CAE" w:rsidP="4777E5FB">
      <w:pPr>
        <w:spacing w:before="100" w:beforeAutospacing="1" w:after="100" w:afterAutospacing="1" w:line="240" w:lineRule="auto"/>
        <w:jc w:val="both"/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</w:pP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“As empresas precisam de uma </w:t>
      </w:r>
      <w:r w:rsidR="18B84455"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>forma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 prática de escalar a adoção da IA, fortalecer a governança, capacitar </w:t>
      </w:r>
      <w:r w:rsidR="370AF2E0"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os 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>colaboradores e gerar valor de negócio mensurável”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,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afirma </w:t>
      </w:r>
      <w:r w:rsidRPr="4777E5FB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>Abhijit Dubey, CEO e Chief AI Officer da NTT DATA, Inc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. 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>“</w:t>
      </w:r>
      <w:r w:rsidR="18B84455"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>Este alargamento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 da parceria entre </w:t>
      </w:r>
      <w:r w:rsidR="370AF2E0"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a 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Google Cloud e a NTT DATA ajuda os clientes a irem além dos projetos-piloto e a integrar a IA </w:t>
      </w:r>
      <w:r w:rsidR="370AF2E0"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na 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forma como </w:t>
      </w:r>
      <w:r w:rsidR="370AF2E0"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as 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>suas organizações operam, criando um caminho mais rápido e com menor risco para uma transformação empresarial abrangente.”</w:t>
      </w:r>
    </w:p>
    <w:p w14:paraId="77F0AE02" w14:textId="366FC3A3" w:rsidR="00BC15B8" w:rsidRPr="001E2B99" w:rsidRDefault="0E322CAE" w:rsidP="4777E5FB">
      <w:pPr>
        <w:spacing w:before="100" w:beforeAutospacing="1" w:after="100" w:afterAutospacing="1" w:line="240" w:lineRule="auto"/>
        <w:jc w:val="both"/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</w:pP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“Estamos </w:t>
      </w:r>
      <w:r w:rsidR="370AF2E0"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a observar 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uma </w:t>
      </w:r>
      <w:r w:rsidR="370AF2E0"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procura 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>massiva por agentes de IA capazes de transformar profundamente os principais processos de negócio”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,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acrescenta </w:t>
      </w:r>
      <w:r w:rsidRPr="001E2B99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 xml:space="preserve">Matt Renner, President </w:t>
      </w:r>
      <w:r w:rsidR="370AF2E0" w:rsidRPr="001E2B99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 xml:space="preserve">and </w:t>
      </w:r>
      <w:r w:rsidRPr="001E2B99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 xml:space="preserve">Chief Revenue Officer </w:t>
      </w:r>
      <w:r w:rsidR="370AF2E0" w:rsidRPr="001E2B99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 xml:space="preserve">da </w:t>
      </w:r>
      <w:r w:rsidRPr="001E2B99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>Google Cloud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. 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>“</w:t>
      </w:r>
      <w:r w:rsidR="370AF2E0"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Esta 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parceria </w:t>
      </w:r>
      <w:r w:rsidR="370AF2E0"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alargada 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combina a plataforma líder de IA </w:t>
      </w:r>
      <w:r w:rsidR="370AF2E0"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da 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Google Cloud com a capacidade de execução da NTT DATA. Ao desenvolver centenas de agentes e capacitar milhares de especialistas, a NTT DATA garante que </w:t>
      </w:r>
      <w:r w:rsidR="370AF2E0"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os 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>nossos clientes comu</w:t>
      </w:r>
      <w:r w:rsidR="370AF2E0"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>ns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 </w:t>
      </w:r>
      <w:r w:rsidR="370AF2E0"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têm 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acesso aos recursos especializados necessários para implementar soluções avançadas de IA </w:t>
      </w:r>
      <w:r w:rsidR="370AF2E0"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à 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>escala global.”</w:t>
      </w:r>
    </w:p>
    <w:p w14:paraId="67507D62" w14:textId="48167BEA" w:rsidR="00BC15B8" w:rsidRPr="00BC15B8" w:rsidRDefault="370AF2E0" w:rsidP="4777E5FB">
      <w:pPr>
        <w:spacing w:before="100" w:beforeAutospacing="1" w:after="100" w:afterAutospacing="1" w:line="240" w:lineRule="auto"/>
        <w:jc w:val="both"/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</w:pP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Apesar de </w:t>
      </w:r>
      <w:r w:rsidR="0E322CAE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muitas organizações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terem </w:t>
      </w:r>
      <w:r w:rsidR="0E322CAE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avançado na adoção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de </w:t>
      </w:r>
      <w:r w:rsidR="0E322CAE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inteligência artificial, poucas conseguiram escalá-la corporativ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amente</w:t>
      </w:r>
      <w:r w:rsidR="0E322CAE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de forma a transformar efetivamente a maneira como o trabalho é realizado. O desafio vai além do acesso à tecnologia e inclui aspectos como governança, capacitação da força de trabalho, priorização de casos de uso, planeamento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da </w:t>
      </w:r>
      <w:r w:rsidR="0E322CAE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impl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emen</w:t>
      </w:r>
      <w:r w:rsidR="0E322CAE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tação e capacidade de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ligar </w:t>
      </w:r>
      <w:r w:rsidR="0E322CAE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a adoção aos resultados de negócio.</w:t>
      </w:r>
    </w:p>
    <w:p w14:paraId="15E6FFC8" w14:textId="0E942FE2" w:rsidR="00BC15B8" w:rsidRPr="00BC15B8" w:rsidRDefault="0E322CAE" w:rsidP="4777E5FB">
      <w:pPr>
        <w:spacing w:before="100" w:beforeAutospacing="1" w:after="100" w:afterAutospacing="1" w:line="240" w:lineRule="auto"/>
        <w:jc w:val="both"/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</w:pP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“O desafio das organizações já não </w:t>
      </w:r>
      <w:r w:rsidR="370AF2E0"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>reside em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 experimentar a IA, mas</w:t>
      </w:r>
      <w:r w:rsidR="370AF2E0"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 em a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 industrializ</w:t>
      </w:r>
      <w:r w:rsidR="370AF2E0"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>ar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. Após anos de provas de conceito bem-sucedidas, o objetivo agora é integrá-la em escala 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lastRenderedPageBreak/>
        <w:t>como uma capacidade estratégica, sustentada por processos, talento, governança e métricas que garantam resultados sustentáveis”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,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afirma </w:t>
      </w:r>
      <w:r w:rsidRPr="001E2B99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 xml:space="preserve">José Manuel Peláez, </w:t>
      </w:r>
      <w:r w:rsidR="370AF2E0" w:rsidRPr="001E2B99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>Head of Alliances da</w:t>
      </w:r>
      <w:r w:rsidRPr="001E2B99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 xml:space="preserve"> NTT DATA para </w:t>
      </w:r>
      <w:r w:rsidR="370AF2E0" w:rsidRPr="001E2B99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 xml:space="preserve">a região </w:t>
      </w:r>
      <w:r w:rsidRPr="001E2B99">
        <w:rPr>
          <w:rFonts w:eastAsiaTheme="minorEastAsia"/>
          <w:b/>
          <w:bCs/>
          <w:kern w:val="0"/>
          <w:sz w:val="22"/>
          <w:szCs w:val="22"/>
          <w:lang w:val="pt-BR" w:eastAsia="es-AR"/>
          <w14:ligatures w14:val="none"/>
        </w:rPr>
        <w:t>Iberia, IO, Latam e Consulting em Benelux &amp; France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.</w:t>
      </w:r>
    </w:p>
    <w:p w14:paraId="59EF53B4" w14:textId="4FEFE44E" w:rsidR="00BC15B8" w:rsidRPr="00BC15B8" w:rsidRDefault="0E322CAE" w:rsidP="4777E5FB">
      <w:pPr>
        <w:spacing w:before="100" w:beforeAutospacing="1" w:after="100" w:afterAutospacing="1" w:line="240" w:lineRule="auto"/>
        <w:jc w:val="both"/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</w:pP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“A confiança é um fator decisivo para acelerar a adoção. Por isso, as empresas precisam implementar soluções que garantam segurança, conformidade e soberania </w:t>
      </w:r>
      <w:r w:rsidR="370AF2E0"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de 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dados, apoiando-se em ecossistemas tecnológicos robustos como o </w:t>
      </w:r>
      <w:r w:rsidR="370AF2E0"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>disponibilizado pela</w:t>
      </w:r>
      <w:r w:rsidRPr="001E2B99">
        <w:rPr>
          <w:rFonts w:eastAsiaTheme="minorEastAsia"/>
          <w:i/>
          <w:iCs/>
          <w:kern w:val="0"/>
          <w:sz w:val="22"/>
          <w:szCs w:val="22"/>
          <w:lang w:val="pt-BR" w:eastAsia="es-AR"/>
          <w14:ligatures w14:val="none"/>
        </w:rPr>
        <w:t xml:space="preserve"> Google Cloud e pela NTT DATA”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, concluiu.</w:t>
      </w:r>
    </w:p>
    <w:p w14:paraId="4D6AF522" w14:textId="61732A8E" w:rsidR="00BC15B8" w:rsidRDefault="0E322CAE" w:rsidP="4777E5FB">
      <w:pPr>
        <w:spacing w:before="100" w:beforeAutospacing="1" w:after="100" w:afterAutospacing="1" w:line="240" w:lineRule="auto"/>
        <w:jc w:val="both"/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</w:pP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Segundo um estudo recente realizado pela NTT DATA, 99% das empresas afirmam que a IA está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a conduzir a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uma maior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necessidade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por investimentos em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cloud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. Ao mesmo tempo, 88% indicam que os níveis atuais de investimento em cloud colocam em risco iniciativas de IA, modernização e tecnologias cloud-native.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O alargamento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da colaboração entre a NTT DATA e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a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Google Cloud foi </w:t>
      </w:r>
      <w:r w:rsidR="18B84455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concebida 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para reduzir essa lacuna, alinhando a ambição em inteligência artificial à infraestrutura </w:t>
      </w:r>
      <w:r w:rsidR="370AF2E0"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>cloud</w:t>
      </w:r>
      <w:r w:rsidRPr="4777E5FB"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  <w:t xml:space="preserve"> escalável e segura necessária para gerar resultados.</w:t>
      </w:r>
    </w:p>
    <w:p w14:paraId="4B997620" w14:textId="77777777" w:rsidR="00FF2632" w:rsidRPr="00FF2632" w:rsidRDefault="00FF2632" w:rsidP="00FF2632">
      <w:pPr>
        <w:spacing w:after="0" w:line="240" w:lineRule="auto"/>
        <w:jc w:val="both"/>
        <w:rPr>
          <w:rFonts w:asciiTheme="majorHAnsi" w:eastAsiaTheme="minorEastAsia" w:hAnsiTheme="majorHAnsi"/>
          <w:kern w:val="0"/>
          <w:sz w:val="22"/>
          <w:szCs w:val="22"/>
          <w:lang w:val="pt-BR" w:eastAsia="es-AR"/>
          <w14:ligatures w14:val="none"/>
        </w:rPr>
      </w:pPr>
    </w:p>
    <w:p w14:paraId="655990AD" w14:textId="79E7EBCE" w:rsidR="00FF2632" w:rsidRPr="00FF2632" w:rsidRDefault="00FF2632" w:rsidP="00FF2632">
      <w:pPr>
        <w:spacing w:after="0"/>
        <w:rPr>
          <w:rFonts w:asciiTheme="majorHAnsi" w:hAnsiTheme="majorHAnsi"/>
          <w:sz w:val="18"/>
          <w:szCs w:val="18"/>
        </w:rPr>
      </w:pPr>
      <w:r w:rsidRPr="00FF2632">
        <w:rPr>
          <w:rFonts w:asciiTheme="majorHAnsi" w:hAnsiTheme="majorHAnsi"/>
          <w:b/>
          <w:sz w:val="18"/>
          <w:szCs w:val="18"/>
        </w:rPr>
        <w:t xml:space="preserve">Para </w:t>
      </w:r>
      <w:proofErr w:type="spellStart"/>
      <w:r w:rsidRPr="00FF2632">
        <w:rPr>
          <w:rFonts w:asciiTheme="majorHAnsi" w:hAnsiTheme="majorHAnsi"/>
          <w:b/>
          <w:sz w:val="18"/>
          <w:szCs w:val="18"/>
        </w:rPr>
        <w:t>mais</w:t>
      </w:r>
      <w:proofErr w:type="spellEnd"/>
      <w:r w:rsidRPr="00FF2632">
        <w:rPr>
          <w:rFonts w:asciiTheme="majorHAnsi" w:hAnsiTheme="majorHAnsi"/>
          <w:b/>
          <w:sz w:val="18"/>
          <w:szCs w:val="18"/>
        </w:rPr>
        <w:t xml:space="preserve"> </w:t>
      </w:r>
      <w:proofErr w:type="spellStart"/>
      <w:r w:rsidRPr="00FF2632">
        <w:rPr>
          <w:rFonts w:asciiTheme="majorHAnsi" w:hAnsiTheme="majorHAnsi"/>
          <w:b/>
          <w:sz w:val="18"/>
          <w:szCs w:val="18"/>
        </w:rPr>
        <w:t>informações</w:t>
      </w:r>
      <w:proofErr w:type="spellEnd"/>
      <w:r w:rsidRPr="00FF2632">
        <w:rPr>
          <w:rFonts w:asciiTheme="majorHAnsi" w:hAnsiTheme="majorHAnsi"/>
          <w:b/>
          <w:sz w:val="18"/>
          <w:szCs w:val="18"/>
        </w:rPr>
        <w:t>, favor contactar</w:t>
      </w:r>
      <w:r w:rsidRPr="00FF2632">
        <w:rPr>
          <w:rFonts w:asciiTheme="majorHAnsi" w:hAnsiTheme="majorHAnsi"/>
          <w:sz w:val="18"/>
          <w:szCs w:val="18"/>
        </w:rPr>
        <w:t>:</w:t>
      </w:r>
    </w:p>
    <w:p w14:paraId="40616662" w14:textId="2EF78C48" w:rsidR="00FF2632" w:rsidRPr="00FF2632" w:rsidRDefault="00FF2632" w:rsidP="00FF2632">
      <w:pPr>
        <w:spacing w:after="0"/>
        <w:rPr>
          <w:rFonts w:asciiTheme="majorHAnsi" w:hAnsiTheme="majorHAnsi"/>
          <w:b/>
          <w:bCs/>
          <w:sz w:val="18"/>
          <w:szCs w:val="18"/>
        </w:rPr>
      </w:pPr>
      <w:r w:rsidRPr="00FF2632">
        <w:rPr>
          <w:rFonts w:asciiTheme="majorHAnsi" w:hAnsiTheme="majorHAnsi"/>
          <w:b/>
          <w:bCs/>
          <w:sz w:val="18"/>
          <w:szCs w:val="18"/>
        </w:rPr>
        <w:t>LIFT CONSULTING</w:t>
      </w:r>
    </w:p>
    <w:p w14:paraId="6178F39A" w14:textId="77777777" w:rsidR="00FF2632" w:rsidRPr="00FF2632" w:rsidRDefault="00FF2632" w:rsidP="00FF2632">
      <w:pPr>
        <w:pStyle w:val="NormalWeb"/>
        <w:spacing w:before="0" w:beforeAutospacing="0" w:after="0" w:afterAutospacing="0"/>
        <w:rPr>
          <w:rFonts w:asciiTheme="majorHAnsi" w:hAnsiTheme="majorHAnsi"/>
          <w:sz w:val="18"/>
          <w:szCs w:val="18"/>
        </w:rPr>
      </w:pPr>
      <w:r w:rsidRPr="00FF2632">
        <w:rPr>
          <w:rFonts w:asciiTheme="majorHAnsi" w:hAnsiTheme="majorHAnsi"/>
          <w:sz w:val="18"/>
          <w:szCs w:val="18"/>
        </w:rPr>
        <w:t>Ana Santos | </w:t>
      </w:r>
      <w:hyperlink r:id="rId9" w:tgtFrame="_blank" w:tooltip="mailto:ana.santos@lift.com.pt" w:history="1">
        <w:r w:rsidRPr="00FF2632">
          <w:rPr>
            <w:rStyle w:val="Hiperligao"/>
            <w:rFonts w:asciiTheme="majorHAnsi" w:eastAsiaTheme="majorEastAsia" w:hAnsiTheme="majorHAnsi"/>
            <w:sz w:val="18"/>
            <w:szCs w:val="18"/>
          </w:rPr>
          <w:t>ana.santos@lift.com.pt</w:t>
        </w:r>
      </w:hyperlink>
      <w:r w:rsidRPr="00FF2632">
        <w:rPr>
          <w:rFonts w:asciiTheme="majorHAnsi" w:hAnsiTheme="majorHAnsi"/>
          <w:sz w:val="18"/>
          <w:szCs w:val="18"/>
        </w:rPr>
        <w:t xml:space="preserve"> | +351 914 409 595</w:t>
      </w:r>
    </w:p>
    <w:p w14:paraId="6D988B1E" w14:textId="77777777" w:rsidR="00FF2632" w:rsidRPr="00FF2632" w:rsidRDefault="00FF2632" w:rsidP="00FF2632">
      <w:pPr>
        <w:spacing w:after="0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FF2632">
        <w:rPr>
          <w:rFonts w:asciiTheme="majorHAnsi" w:hAnsiTheme="majorHAnsi"/>
          <w:sz w:val="18"/>
          <w:szCs w:val="18"/>
        </w:rPr>
        <w:t xml:space="preserve">Eunice Gaspar | </w:t>
      </w:r>
      <w:hyperlink r:id="rId10" w:history="1">
        <w:r w:rsidRPr="00FF2632">
          <w:rPr>
            <w:rStyle w:val="Hiperligao"/>
            <w:rFonts w:asciiTheme="majorHAnsi" w:hAnsiTheme="majorHAnsi"/>
            <w:sz w:val="18"/>
            <w:szCs w:val="18"/>
          </w:rPr>
          <w:t>eunice.gaspar@lift.com.pt</w:t>
        </w:r>
      </w:hyperlink>
      <w:r w:rsidRPr="00FF2632">
        <w:rPr>
          <w:rFonts w:asciiTheme="majorHAnsi" w:hAnsiTheme="majorHAnsi"/>
          <w:sz w:val="18"/>
          <w:szCs w:val="18"/>
        </w:rPr>
        <w:t xml:space="preserve"> | </w:t>
      </w:r>
      <w:r w:rsidRPr="00FF2632">
        <w:rPr>
          <w:rFonts w:asciiTheme="majorHAnsi" w:eastAsia="Times New Roman" w:hAnsiTheme="majorHAnsi" w:cs="Times New Roman"/>
          <w:kern w:val="0"/>
          <w:sz w:val="18"/>
          <w:szCs w:val="18"/>
          <w:lang w:eastAsia="pt-PT"/>
          <w14:ligatures w14:val="none"/>
        </w:rPr>
        <w:t>+351 911 774 428</w:t>
      </w:r>
    </w:p>
    <w:p w14:paraId="101DFF9A" w14:textId="77777777" w:rsidR="00FF2632" w:rsidRPr="00FF2632" w:rsidRDefault="00FF2632" w:rsidP="00FF2632">
      <w:pPr>
        <w:pStyle w:val="NormalWeb"/>
        <w:spacing w:before="0" w:beforeAutospacing="0" w:after="0" w:afterAutospacing="0"/>
        <w:rPr>
          <w:rFonts w:asciiTheme="majorHAnsi" w:hAnsiTheme="majorHAnsi"/>
          <w:sz w:val="18"/>
          <w:szCs w:val="18"/>
        </w:rPr>
      </w:pPr>
    </w:p>
    <w:p w14:paraId="700A51A0" w14:textId="77777777" w:rsidR="00DC70AD" w:rsidRPr="00FF2632" w:rsidRDefault="00DC70AD" w:rsidP="4777E5FB">
      <w:pPr>
        <w:spacing w:before="100" w:beforeAutospacing="1" w:after="100" w:afterAutospacing="1" w:line="240" w:lineRule="auto"/>
        <w:jc w:val="both"/>
        <w:rPr>
          <w:rFonts w:asciiTheme="majorHAnsi" w:eastAsiaTheme="minorEastAsia" w:hAnsiTheme="majorHAnsi"/>
          <w:kern w:val="0"/>
          <w:sz w:val="22"/>
          <w:szCs w:val="22"/>
          <w:lang w:val="pt-PT" w:eastAsia="es-AR"/>
          <w14:ligatures w14:val="none"/>
        </w:rPr>
      </w:pPr>
    </w:p>
    <w:p w14:paraId="334C8BB4" w14:textId="77777777" w:rsidR="00DC70AD" w:rsidRDefault="00DC70AD" w:rsidP="00DC70AD">
      <w:pPr>
        <w:spacing w:after="0" w:line="240" w:lineRule="auto"/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</w:pPr>
      <w:r w:rsidRPr="00DC70AD">
        <w:rPr>
          <w:rFonts w:eastAsiaTheme="minorEastAsia"/>
          <w:b/>
          <w:bCs/>
          <w:kern w:val="0"/>
          <w:sz w:val="16"/>
          <w:szCs w:val="16"/>
          <w:lang w:val="pt-PT" w:eastAsia="es-AR"/>
          <w14:ligatures w14:val="none"/>
        </w:rPr>
        <w:t>Sobre a NTT DATA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 </w:t>
      </w:r>
    </w:p>
    <w:p w14:paraId="0EE99CF5" w14:textId="5D0210D4" w:rsidR="00DC70AD" w:rsidRPr="00DC70AD" w:rsidRDefault="00DC70AD" w:rsidP="00DC70AD">
      <w:pPr>
        <w:spacing w:after="0" w:line="240" w:lineRule="auto"/>
        <w:jc w:val="both"/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</w:pP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br/>
        <w:t> A NTT DATA é uma</w:t>
      </w:r>
      <w:r w:rsidRPr="00DC70AD">
        <w:rPr>
          <w:rFonts w:ascii="Arial" w:eastAsiaTheme="minorEastAsia" w:hAnsi="Arial" w:cs="Arial"/>
          <w:kern w:val="0"/>
          <w:sz w:val="16"/>
          <w:szCs w:val="16"/>
          <w:lang w:val="pt-PT" w:eastAsia="es-AR"/>
          <w14:ligatures w14:val="none"/>
        </w:rPr>
        <w:t> 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empresa l</w:t>
      </w:r>
      <w:r w:rsidRPr="00DC70AD">
        <w:rPr>
          <w:rFonts w:ascii="Aptos" w:eastAsiaTheme="minorEastAsia" w:hAnsi="Aptos" w:cs="Aptos"/>
          <w:kern w:val="0"/>
          <w:sz w:val="16"/>
          <w:szCs w:val="16"/>
          <w:lang w:val="pt-PT" w:eastAsia="es-AR"/>
          <w14:ligatures w14:val="none"/>
        </w:rPr>
        <w:t>í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der em servi</w:t>
      </w:r>
      <w:r w:rsidRPr="00DC70AD">
        <w:rPr>
          <w:rFonts w:ascii="Aptos" w:eastAsiaTheme="minorEastAsia" w:hAnsi="Aptos" w:cs="Aptos"/>
          <w:kern w:val="0"/>
          <w:sz w:val="16"/>
          <w:szCs w:val="16"/>
          <w:lang w:val="pt-PT" w:eastAsia="es-AR"/>
          <w14:ligatures w14:val="none"/>
        </w:rPr>
        <w:t>ç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os de neg</w:t>
      </w:r>
      <w:r w:rsidRPr="00DC70AD">
        <w:rPr>
          <w:rFonts w:ascii="Aptos" w:eastAsiaTheme="minorEastAsia" w:hAnsi="Aptos" w:cs="Aptos"/>
          <w:kern w:val="0"/>
          <w:sz w:val="16"/>
          <w:szCs w:val="16"/>
          <w:lang w:val="pt-PT" w:eastAsia="es-AR"/>
          <w14:ligatures w14:val="none"/>
        </w:rPr>
        <w:t>ó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cio e tecnologia, com receitas superiores a 30 mil milh</w:t>
      </w:r>
      <w:r w:rsidRPr="00DC70AD">
        <w:rPr>
          <w:rFonts w:ascii="Aptos" w:eastAsiaTheme="minorEastAsia" w:hAnsi="Aptos" w:cs="Aptos"/>
          <w:kern w:val="0"/>
          <w:sz w:val="16"/>
          <w:szCs w:val="16"/>
          <w:lang w:val="pt-PT" w:eastAsia="es-AR"/>
          <w14:ligatures w14:val="none"/>
        </w:rPr>
        <w:t>õ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es de d</w:t>
      </w:r>
      <w:r w:rsidRPr="00DC70AD">
        <w:rPr>
          <w:rFonts w:ascii="Aptos" w:eastAsiaTheme="minorEastAsia" w:hAnsi="Aptos" w:cs="Aptos"/>
          <w:kern w:val="0"/>
          <w:sz w:val="16"/>
          <w:szCs w:val="16"/>
          <w:lang w:val="pt-PT" w:eastAsia="es-AR"/>
          <w14:ligatures w14:val="none"/>
        </w:rPr>
        <w:t>ó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lares, que</w:t>
      </w:r>
      <w:r w:rsidRPr="00DC70AD">
        <w:rPr>
          <w:rFonts w:ascii="Arial" w:eastAsiaTheme="minorEastAsia" w:hAnsi="Arial" w:cs="Arial"/>
          <w:kern w:val="0"/>
          <w:sz w:val="16"/>
          <w:szCs w:val="16"/>
          <w:lang w:val="pt-PT" w:eastAsia="es-AR"/>
          <w14:ligatures w14:val="none"/>
        </w:rPr>
        <w:t> 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trabalha</w:t>
      </w:r>
      <w:r w:rsidRPr="00DC70AD">
        <w:rPr>
          <w:rFonts w:ascii="Arial" w:eastAsiaTheme="minorEastAsia" w:hAnsi="Arial" w:cs="Arial"/>
          <w:kern w:val="0"/>
          <w:sz w:val="16"/>
          <w:szCs w:val="16"/>
          <w:lang w:val="pt-PT" w:eastAsia="es-AR"/>
          <w14:ligatures w14:val="none"/>
        </w:rPr>
        <w:t> 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para</w:t>
      </w:r>
      <w:r w:rsidRPr="00DC70AD">
        <w:rPr>
          <w:rFonts w:ascii="Arial" w:eastAsiaTheme="minorEastAsia" w:hAnsi="Arial" w:cs="Arial"/>
          <w:kern w:val="0"/>
          <w:sz w:val="16"/>
          <w:szCs w:val="16"/>
          <w:lang w:val="pt-PT" w:eastAsia="es-AR"/>
          <w14:ligatures w14:val="none"/>
        </w:rPr>
        <w:t> 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75% das empresas do Fortune Global 100. Est</w:t>
      </w:r>
      <w:r w:rsidRPr="00DC70AD">
        <w:rPr>
          <w:rFonts w:ascii="Aptos" w:eastAsiaTheme="minorEastAsia" w:hAnsi="Aptos" w:cs="Aptos"/>
          <w:kern w:val="0"/>
          <w:sz w:val="16"/>
          <w:szCs w:val="16"/>
          <w:lang w:val="pt-PT" w:eastAsia="es-AR"/>
          <w14:ligatures w14:val="none"/>
        </w:rPr>
        <w:t>á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 xml:space="preserve"> empenhada em acelerar o sucesso dos clientes e em gerar um impacto positivo na sociedade atrav</w:t>
      </w:r>
      <w:r w:rsidRPr="00DC70AD">
        <w:rPr>
          <w:rFonts w:ascii="Aptos" w:eastAsiaTheme="minorEastAsia" w:hAnsi="Aptos" w:cs="Aptos"/>
          <w:kern w:val="0"/>
          <w:sz w:val="16"/>
          <w:szCs w:val="16"/>
          <w:lang w:val="pt-PT" w:eastAsia="es-AR"/>
          <w14:ligatures w14:val="none"/>
        </w:rPr>
        <w:t>é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s da inova</w:t>
      </w:r>
      <w:r w:rsidRPr="00DC70AD">
        <w:rPr>
          <w:rFonts w:ascii="Aptos" w:eastAsiaTheme="minorEastAsia" w:hAnsi="Aptos" w:cs="Aptos"/>
          <w:kern w:val="0"/>
          <w:sz w:val="16"/>
          <w:szCs w:val="16"/>
          <w:lang w:val="pt-PT" w:eastAsia="es-AR"/>
          <w14:ligatures w14:val="none"/>
        </w:rPr>
        <w:t>çã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o respons</w:t>
      </w:r>
      <w:r w:rsidRPr="00DC70AD">
        <w:rPr>
          <w:rFonts w:ascii="Aptos" w:eastAsiaTheme="minorEastAsia" w:hAnsi="Aptos" w:cs="Aptos"/>
          <w:kern w:val="0"/>
          <w:sz w:val="16"/>
          <w:szCs w:val="16"/>
          <w:lang w:val="pt-PT" w:eastAsia="es-AR"/>
          <w14:ligatures w14:val="none"/>
        </w:rPr>
        <w:t>á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 xml:space="preserve">vel. </w:t>
      </w:r>
      <w:r w:rsidRPr="00DC70AD">
        <w:rPr>
          <w:rFonts w:ascii="Aptos" w:eastAsiaTheme="minorEastAsia" w:hAnsi="Aptos" w:cs="Aptos"/>
          <w:kern w:val="0"/>
          <w:sz w:val="16"/>
          <w:szCs w:val="16"/>
          <w:lang w:val="pt-PT" w:eastAsia="es-AR"/>
          <w14:ligatures w14:val="none"/>
        </w:rPr>
        <w:t>É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 xml:space="preserve"> um dos principais fornecedores mundiais de intelig</w:t>
      </w:r>
      <w:r w:rsidRPr="00DC70AD">
        <w:rPr>
          <w:rFonts w:ascii="Aptos" w:eastAsiaTheme="minorEastAsia" w:hAnsi="Aptos" w:cs="Aptos"/>
          <w:kern w:val="0"/>
          <w:sz w:val="16"/>
          <w:szCs w:val="16"/>
          <w:lang w:val="pt-PT" w:eastAsia="es-AR"/>
          <w14:ligatures w14:val="none"/>
        </w:rPr>
        <w:t>ê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ncia artificial e infraestruturas digitais, com capacidades incompar</w:t>
      </w:r>
      <w:r w:rsidRPr="00DC70AD">
        <w:rPr>
          <w:rFonts w:ascii="Aptos" w:eastAsiaTheme="minorEastAsia" w:hAnsi="Aptos" w:cs="Aptos"/>
          <w:kern w:val="0"/>
          <w:sz w:val="16"/>
          <w:szCs w:val="16"/>
          <w:lang w:val="pt-PT" w:eastAsia="es-AR"/>
          <w14:ligatures w14:val="none"/>
        </w:rPr>
        <w:t>á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 xml:space="preserve">veis em IA </w:t>
      </w:r>
      <w:r w:rsidRPr="00DC70AD">
        <w:rPr>
          <w:rFonts w:ascii="Aptos" w:eastAsiaTheme="minorEastAsia" w:hAnsi="Aptos" w:cs="Aptos"/>
          <w:kern w:val="0"/>
          <w:sz w:val="16"/>
          <w:szCs w:val="16"/>
          <w:lang w:val="pt-PT" w:eastAsia="es-AR"/>
          <w14:ligatures w14:val="none"/>
        </w:rPr>
        <w:t>à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 xml:space="preserve"> escala empresarial,</w:t>
      </w:r>
      <w:r w:rsidRPr="00DC70AD">
        <w:rPr>
          <w:rFonts w:ascii="Arial" w:eastAsiaTheme="minorEastAsia" w:hAnsi="Arial" w:cs="Arial"/>
          <w:kern w:val="0"/>
          <w:sz w:val="16"/>
          <w:szCs w:val="16"/>
          <w:lang w:val="pt-PT" w:eastAsia="es-AR"/>
          <w14:ligatures w14:val="none"/>
        </w:rPr>
        <w:t> </w:t>
      </w:r>
      <w:proofErr w:type="spellStart"/>
      <w:r w:rsidRPr="00DC70AD">
        <w:rPr>
          <w:rFonts w:eastAsiaTheme="minorEastAsia"/>
          <w:i/>
          <w:iCs/>
          <w:kern w:val="0"/>
          <w:sz w:val="16"/>
          <w:szCs w:val="16"/>
          <w:lang w:val="pt-PT" w:eastAsia="es-AR"/>
          <w14:ligatures w14:val="none"/>
        </w:rPr>
        <w:t>cloud</w:t>
      </w:r>
      <w:proofErr w:type="spellEnd"/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, segurança, conectividade, centros de dados e serviços de aplicações.</w:t>
      </w:r>
      <w:r w:rsidRPr="00DC70AD">
        <w:rPr>
          <w:rFonts w:ascii="Arial" w:eastAsiaTheme="minorEastAsia" w:hAnsi="Arial" w:cs="Arial"/>
          <w:kern w:val="0"/>
          <w:sz w:val="16"/>
          <w:szCs w:val="16"/>
          <w:lang w:val="pt-PT" w:eastAsia="es-AR"/>
          <w14:ligatures w14:val="none"/>
        </w:rPr>
        <w:t> </w:t>
      </w:r>
      <w:r w:rsidRPr="00DC70AD">
        <w:rPr>
          <w:rFonts w:ascii="Aptos" w:eastAsiaTheme="minorEastAsia" w:hAnsi="Aptos" w:cs="Aptos"/>
          <w:kern w:val="0"/>
          <w:sz w:val="16"/>
          <w:szCs w:val="16"/>
          <w:lang w:val="pt-PT" w:eastAsia="es-AR"/>
          <w14:ligatures w14:val="none"/>
        </w:rPr>
        <w:t> </w:t>
      </w:r>
    </w:p>
    <w:p w14:paraId="3337211F" w14:textId="77777777" w:rsidR="00DC70AD" w:rsidRPr="00DC70AD" w:rsidRDefault="00DC70AD" w:rsidP="00DC70AD">
      <w:pPr>
        <w:spacing w:after="0" w:line="240" w:lineRule="auto"/>
        <w:jc w:val="both"/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</w:pP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Os seus serviços de consultoria e soluções sectoriais ajudam as organizações e a sociedade a avançar com confiança e de forma sustentável rumo ao futuro digital. Como</w:t>
      </w:r>
      <w:r w:rsidRPr="00DC70AD">
        <w:rPr>
          <w:rFonts w:ascii="Arial" w:eastAsiaTheme="minorEastAsia" w:hAnsi="Arial" w:cs="Arial"/>
          <w:kern w:val="0"/>
          <w:sz w:val="16"/>
          <w:szCs w:val="16"/>
          <w:lang w:val="pt-PT" w:eastAsia="es-AR"/>
          <w14:ligatures w14:val="none"/>
        </w:rPr>
        <w:t> </w:t>
      </w:r>
      <w:r w:rsidRPr="00DC70AD">
        <w:rPr>
          <w:rFonts w:eastAsiaTheme="minorEastAsia"/>
          <w:i/>
          <w:iCs/>
          <w:kern w:val="0"/>
          <w:sz w:val="16"/>
          <w:szCs w:val="16"/>
          <w:lang w:val="pt-PT" w:eastAsia="es-AR"/>
          <w14:ligatures w14:val="none"/>
        </w:rPr>
        <w:t>Global Top</w:t>
      </w:r>
      <w:r w:rsidRPr="00DC70AD">
        <w:rPr>
          <w:rFonts w:ascii="Arial" w:eastAsiaTheme="minorEastAsia" w:hAnsi="Arial" w:cs="Arial"/>
          <w:i/>
          <w:iCs/>
          <w:kern w:val="0"/>
          <w:sz w:val="16"/>
          <w:szCs w:val="16"/>
          <w:lang w:val="pt-PT" w:eastAsia="es-AR"/>
          <w14:ligatures w14:val="none"/>
        </w:rPr>
        <w:t> </w:t>
      </w:r>
      <w:proofErr w:type="spellStart"/>
      <w:r w:rsidRPr="00DC70AD">
        <w:rPr>
          <w:rFonts w:eastAsiaTheme="minorEastAsia"/>
          <w:i/>
          <w:iCs/>
          <w:kern w:val="0"/>
          <w:sz w:val="16"/>
          <w:szCs w:val="16"/>
          <w:lang w:val="pt-PT" w:eastAsia="es-AR"/>
          <w14:ligatures w14:val="none"/>
        </w:rPr>
        <w:t>Employer</w:t>
      </w:r>
      <w:proofErr w:type="spellEnd"/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, conta com especialistas em mais de 70 países. Oferece ainda aos seus clientes acesso a um sólido ecossistema de centros de inovação, bem como a parceiros estabelecidos e</w:t>
      </w:r>
      <w:r w:rsidRPr="00DC70AD">
        <w:rPr>
          <w:rFonts w:ascii="Arial" w:eastAsiaTheme="minorEastAsia" w:hAnsi="Arial" w:cs="Arial"/>
          <w:kern w:val="0"/>
          <w:sz w:val="16"/>
          <w:szCs w:val="16"/>
          <w:lang w:val="pt-PT" w:eastAsia="es-AR"/>
          <w14:ligatures w14:val="none"/>
        </w:rPr>
        <w:t> </w:t>
      </w:r>
      <w:proofErr w:type="spellStart"/>
      <w:r w:rsidRPr="00DC70AD">
        <w:rPr>
          <w:rFonts w:eastAsiaTheme="minorEastAsia"/>
          <w:i/>
          <w:iCs/>
          <w:kern w:val="0"/>
          <w:sz w:val="16"/>
          <w:szCs w:val="16"/>
          <w:lang w:val="pt-PT" w:eastAsia="es-AR"/>
          <w14:ligatures w14:val="none"/>
        </w:rPr>
        <w:t>startups</w:t>
      </w:r>
      <w:proofErr w:type="spellEnd"/>
      <w:r w:rsidRPr="00DC70AD">
        <w:rPr>
          <w:rFonts w:eastAsiaTheme="minorEastAsia"/>
          <w:i/>
          <w:iCs/>
          <w:kern w:val="0"/>
          <w:sz w:val="16"/>
          <w:szCs w:val="16"/>
          <w:lang w:val="pt-PT" w:eastAsia="es-AR"/>
          <w14:ligatures w14:val="none"/>
        </w:rPr>
        <w:t>.</w:t>
      </w:r>
      <w:r w:rsidRPr="00DC70AD">
        <w:rPr>
          <w:rFonts w:ascii="Arial" w:eastAsiaTheme="minorEastAsia" w:hAnsi="Arial" w:cs="Arial"/>
          <w:kern w:val="0"/>
          <w:sz w:val="16"/>
          <w:szCs w:val="16"/>
          <w:lang w:val="pt-PT" w:eastAsia="es-AR"/>
          <w14:ligatures w14:val="none"/>
        </w:rPr>
        <w:t> 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A NTT DATA faz parte do NTT</w:t>
      </w:r>
      <w:r w:rsidRPr="00DC70AD">
        <w:rPr>
          <w:rFonts w:ascii="Arial" w:eastAsiaTheme="minorEastAsia" w:hAnsi="Arial" w:cs="Arial"/>
          <w:kern w:val="0"/>
          <w:sz w:val="16"/>
          <w:szCs w:val="16"/>
          <w:lang w:val="pt-PT" w:eastAsia="es-AR"/>
          <w14:ligatures w14:val="none"/>
        </w:rPr>
        <w:t> 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Group, que investe mais de 3 mil milh</w:t>
      </w:r>
      <w:r w:rsidRPr="00DC70AD">
        <w:rPr>
          <w:rFonts w:ascii="Aptos" w:eastAsiaTheme="minorEastAsia" w:hAnsi="Aptos" w:cs="Aptos"/>
          <w:kern w:val="0"/>
          <w:sz w:val="16"/>
          <w:szCs w:val="16"/>
          <w:lang w:val="pt-PT" w:eastAsia="es-AR"/>
          <w14:ligatures w14:val="none"/>
        </w:rPr>
        <w:t>õ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es de d</w:t>
      </w:r>
      <w:r w:rsidRPr="00DC70AD">
        <w:rPr>
          <w:rFonts w:ascii="Aptos" w:eastAsiaTheme="minorEastAsia" w:hAnsi="Aptos" w:cs="Aptos"/>
          <w:kern w:val="0"/>
          <w:sz w:val="16"/>
          <w:szCs w:val="16"/>
          <w:lang w:val="pt-PT" w:eastAsia="es-AR"/>
          <w14:ligatures w14:val="none"/>
        </w:rPr>
        <w:t>ó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lares por ano em investiga</w:t>
      </w:r>
      <w:r w:rsidRPr="00DC70AD">
        <w:rPr>
          <w:rFonts w:ascii="Aptos" w:eastAsiaTheme="minorEastAsia" w:hAnsi="Aptos" w:cs="Aptos"/>
          <w:kern w:val="0"/>
          <w:sz w:val="16"/>
          <w:szCs w:val="16"/>
          <w:lang w:val="pt-PT" w:eastAsia="es-AR"/>
          <w14:ligatures w14:val="none"/>
        </w:rPr>
        <w:t>çã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o e desenvolvimento (I&amp;D).</w:t>
      </w:r>
      <w:r w:rsidRPr="00DC70AD">
        <w:rPr>
          <w:rFonts w:ascii="Arial" w:eastAsiaTheme="minorEastAsia" w:hAnsi="Arial" w:cs="Arial"/>
          <w:kern w:val="0"/>
          <w:sz w:val="16"/>
          <w:szCs w:val="16"/>
          <w:lang w:val="pt-PT" w:eastAsia="es-AR"/>
          <w14:ligatures w14:val="none"/>
        </w:rPr>
        <w:t> </w:t>
      </w:r>
      <w:r w:rsidRPr="00DC70AD">
        <w:rPr>
          <w:rFonts w:eastAsiaTheme="minorEastAsia"/>
          <w:kern w:val="0"/>
          <w:sz w:val="16"/>
          <w:szCs w:val="16"/>
          <w:lang w:val="pt-PT" w:eastAsia="es-AR"/>
          <w14:ligatures w14:val="none"/>
        </w:rPr>
        <w:t> </w:t>
      </w:r>
    </w:p>
    <w:p w14:paraId="74F04848" w14:textId="77777777" w:rsidR="00DC70AD" w:rsidRPr="00DC70AD" w:rsidRDefault="00DC70AD" w:rsidP="4777E5FB">
      <w:pPr>
        <w:spacing w:before="100" w:beforeAutospacing="1" w:after="100" w:afterAutospacing="1" w:line="240" w:lineRule="auto"/>
        <w:jc w:val="both"/>
        <w:rPr>
          <w:rFonts w:eastAsiaTheme="minorEastAsia"/>
          <w:kern w:val="0"/>
          <w:sz w:val="22"/>
          <w:szCs w:val="22"/>
          <w:lang w:val="pt-PT" w:eastAsia="es-AR"/>
          <w14:ligatures w14:val="none"/>
        </w:rPr>
      </w:pPr>
    </w:p>
    <w:p w14:paraId="2027A71E" w14:textId="77777777" w:rsidR="006B63EF" w:rsidRPr="00BC15B8" w:rsidRDefault="006B63EF" w:rsidP="4777E5FB">
      <w:pPr>
        <w:spacing w:before="100" w:beforeAutospacing="1" w:after="100" w:afterAutospacing="1" w:line="240" w:lineRule="auto"/>
        <w:jc w:val="both"/>
        <w:rPr>
          <w:rFonts w:eastAsiaTheme="minorEastAsia"/>
          <w:kern w:val="0"/>
          <w:sz w:val="22"/>
          <w:szCs w:val="22"/>
          <w:lang w:val="pt-BR" w:eastAsia="es-AR"/>
          <w14:ligatures w14:val="none"/>
        </w:rPr>
      </w:pPr>
    </w:p>
    <w:p w14:paraId="45AA48CB" w14:textId="5C24B8F5" w:rsidR="4777E5FB" w:rsidRDefault="4777E5FB" w:rsidP="4777E5FB">
      <w:pPr>
        <w:spacing w:beforeAutospacing="1" w:afterAutospacing="1" w:line="240" w:lineRule="auto"/>
        <w:jc w:val="both"/>
        <w:rPr>
          <w:rFonts w:ascii="Arial" w:eastAsia="Times New Roman" w:hAnsi="Arial" w:cs="Arial"/>
          <w:sz w:val="22"/>
          <w:szCs w:val="22"/>
          <w:lang w:val="pt-BR" w:eastAsia="es-AR"/>
        </w:rPr>
      </w:pPr>
    </w:p>
    <w:p w14:paraId="7F54EC97" w14:textId="11B4CC05" w:rsidR="4777E5FB" w:rsidRDefault="4777E5FB" w:rsidP="4777E5FB">
      <w:pPr>
        <w:spacing w:beforeAutospacing="1" w:afterAutospacing="1" w:line="240" w:lineRule="auto"/>
        <w:jc w:val="both"/>
        <w:rPr>
          <w:rFonts w:ascii="Arial" w:eastAsia="Times New Roman" w:hAnsi="Arial" w:cs="Arial"/>
          <w:sz w:val="22"/>
          <w:szCs w:val="22"/>
          <w:lang w:val="pt-BR" w:eastAsia="es-AR"/>
        </w:rPr>
      </w:pPr>
    </w:p>
    <w:p w14:paraId="57D3835D" w14:textId="77777777" w:rsidR="00BC15B8" w:rsidRPr="00BC15B8" w:rsidRDefault="00BC15B8" w:rsidP="00B43567">
      <w:pPr>
        <w:jc w:val="both"/>
        <w:rPr>
          <w:sz w:val="22"/>
          <w:szCs w:val="22"/>
          <w:lang w:val="pt-BR"/>
        </w:rPr>
      </w:pPr>
    </w:p>
    <w:sectPr w:rsidR="00BC15B8" w:rsidRPr="00BC15B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4ED20" w14:textId="77777777" w:rsidR="005A0BF5" w:rsidRDefault="005A0BF5">
      <w:pPr>
        <w:spacing w:after="0" w:line="240" w:lineRule="auto"/>
      </w:pPr>
      <w:r>
        <w:separator/>
      </w:r>
    </w:p>
  </w:endnote>
  <w:endnote w:type="continuationSeparator" w:id="0">
    <w:p w14:paraId="6DF419E3" w14:textId="77777777" w:rsidR="005A0BF5" w:rsidRDefault="005A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91197F" w14:paraId="0A5B892D" w14:textId="77777777" w:rsidTr="4777E5FB">
      <w:trPr>
        <w:trHeight w:val="300"/>
      </w:trPr>
      <w:tc>
        <w:tcPr>
          <w:tcW w:w="2830" w:type="dxa"/>
        </w:tcPr>
        <w:p w14:paraId="5C853B30" w14:textId="103B3C1C" w:rsidR="0091197F" w:rsidRDefault="0091197F" w:rsidP="4777E5FB">
          <w:pPr>
            <w:pStyle w:val="Cabealho"/>
            <w:ind w:left="-115"/>
          </w:pPr>
        </w:p>
      </w:tc>
      <w:tc>
        <w:tcPr>
          <w:tcW w:w="2830" w:type="dxa"/>
        </w:tcPr>
        <w:p w14:paraId="670F59D4" w14:textId="38AB6882" w:rsidR="0091197F" w:rsidRDefault="0091197F" w:rsidP="4777E5FB">
          <w:pPr>
            <w:pStyle w:val="Cabealho"/>
            <w:jc w:val="center"/>
          </w:pPr>
        </w:p>
      </w:tc>
      <w:tc>
        <w:tcPr>
          <w:tcW w:w="2830" w:type="dxa"/>
        </w:tcPr>
        <w:p w14:paraId="03B5FB05" w14:textId="2EC2D113" w:rsidR="0091197F" w:rsidRDefault="0091197F" w:rsidP="4777E5FB">
          <w:pPr>
            <w:pStyle w:val="Cabealho"/>
            <w:ind w:right="-115"/>
            <w:jc w:val="right"/>
          </w:pPr>
        </w:p>
      </w:tc>
    </w:tr>
  </w:tbl>
  <w:p w14:paraId="2DFDBECC" w14:textId="7BE6E666" w:rsidR="0091197F" w:rsidRDefault="0091197F" w:rsidP="4777E5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D68BD" w14:textId="77777777" w:rsidR="005A0BF5" w:rsidRDefault="005A0BF5">
      <w:pPr>
        <w:spacing w:after="0" w:line="240" w:lineRule="auto"/>
      </w:pPr>
      <w:r>
        <w:separator/>
      </w:r>
    </w:p>
  </w:footnote>
  <w:footnote w:type="continuationSeparator" w:id="0">
    <w:p w14:paraId="59433452" w14:textId="77777777" w:rsidR="005A0BF5" w:rsidRDefault="005A0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066A" w14:textId="69C73A86" w:rsidR="0091197F" w:rsidRPr="0091197F" w:rsidRDefault="0091197F" w:rsidP="4777E5FB">
    <w:pPr>
      <w:pStyle w:val="Cabealho"/>
      <w:rPr>
        <w:sz w:val="20"/>
        <w:szCs w:val="20"/>
      </w:rPr>
    </w:pPr>
    <w:r w:rsidRPr="0091197F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0AAF408" wp14:editId="39608FDA">
          <wp:simplePos x="0" y="0"/>
          <wp:positionH relativeFrom="column">
            <wp:posOffset>4291965</wp:posOffset>
          </wp:positionH>
          <wp:positionV relativeFrom="paragraph">
            <wp:posOffset>-163830</wp:posOffset>
          </wp:positionV>
          <wp:extent cx="1130300" cy="290272"/>
          <wp:effectExtent l="0" t="0" r="0" b="0"/>
          <wp:wrapTight wrapText="bothSides">
            <wp:wrapPolygon edited="0">
              <wp:start x="2184" y="0"/>
              <wp:lineTo x="1092" y="8508"/>
              <wp:lineTo x="1820" y="19851"/>
              <wp:lineTo x="5461" y="19851"/>
              <wp:lineTo x="19658" y="15597"/>
              <wp:lineTo x="19658" y="5672"/>
              <wp:lineTo x="5097" y="0"/>
              <wp:lineTo x="2184" y="0"/>
            </wp:wrapPolygon>
          </wp:wrapTight>
          <wp:docPr id="1404088085" name="Imagem 1" descr="A blue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AC3139D-0723-413B-8642-5DD8E5F7F6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290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97F">
      <w:rPr>
        <w:sz w:val="20"/>
        <w:szCs w:val="20"/>
      </w:rPr>
      <w:t xml:space="preserve">Comunicado de </w:t>
    </w:r>
    <w:proofErr w:type="spellStart"/>
    <w:r w:rsidRPr="0091197F">
      <w:rPr>
        <w:sz w:val="20"/>
        <w:szCs w:val="20"/>
      </w:rPr>
      <w:t>imprensa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B8"/>
    <w:rsid w:val="0003575D"/>
    <w:rsid w:val="00166CB4"/>
    <w:rsid w:val="001E2B99"/>
    <w:rsid w:val="002448E2"/>
    <w:rsid w:val="003315C8"/>
    <w:rsid w:val="00350EBC"/>
    <w:rsid w:val="005109E2"/>
    <w:rsid w:val="00580F19"/>
    <w:rsid w:val="00581B2E"/>
    <w:rsid w:val="005A0BF5"/>
    <w:rsid w:val="005F32F9"/>
    <w:rsid w:val="006B63EF"/>
    <w:rsid w:val="00701641"/>
    <w:rsid w:val="007A43FD"/>
    <w:rsid w:val="007D04EA"/>
    <w:rsid w:val="0091197F"/>
    <w:rsid w:val="00A25EDB"/>
    <w:rsid w:val="00A75F30"/>
    <w:rsid w:val="00AF7C67"/>
    <w:rsid w:val="00B3632D"/>
    <w:rsid w:val="00B41187"/>
    <w:rsid w:val="00B43567"/>
    <w:rsid w:val="00B94294"/>
    <w:rsid w:val="00BC15B8"/>
    <w:rsid w:val="00C1329F"/>
    <w:rsid w:val="00CE3155"/>
    <w:rsid w:val="00D438B7"/>
    <w:rsid w:val="00DC70AD"/>
    <w:rsid w:val="00E069E0"/>
    <w:rsid w:val="00E6124C"/>
    <w:rsid w:val="00F5542C"/>
    <w:rsid w:val="00F64517"/>
    <w:rsid w:val="00FE35F1"/>
    <w:rsid w:val="00FF2632"/>
    <w:rsid w:val="0E322CAE"/>
    <w:rsid w:val="18B84455"/>
    <w:rsid w:val="36981BDA"/>
    <w:rsid w:val="370AF2E0"/>
    <w:rsid w:val="3CEBA1A0"/>
    <w:rsid w:val="4777E5FB"/>
    <w:rsid w:val="5B740272"/>
    <w:rsid w:val="7E4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B6AFD"/>
  <w15:chartTrackingRefBased/>
  <w15:docId w15:val="{6F47A585-2EAA-4458-97D4-7C7DC748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BC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C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C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C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C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C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BC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BC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BC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C15B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C15B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C15B8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AF7C67"/>
    <w:pPr>
      <w:spacing w:after="0" w:line="240" w:lineRule="auto"/>
    </w:pPr>
  </w:style>
  <w:style w:type="paragraph" w:styleId="Cabealho">
    <w:name w:val="header"/>
    <w:basedOn w:val="Normal"/>
    <w:uiPriority w:val="99"/>
    <w:unhideWhenUsed/>
    <w:rsid w:val="4777E5FB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4777E5FB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ter">
    <w:name w:val="Título 1 Caráter"/>
    <w:basedOn w:val="Tipodeletrapredefinidodopargrafo"/>
    <w:uiPriority w:val="9"/>
    <w:rsid w:val="006B6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uiPriority w:val="9"/>
    <w:semiHidden/>
    <w:rsid w:val="006B6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uiPriority w:val="9"/>
    <w:semiHidden/>
    <w:rsid w:val="006B6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uiPriority w:val="9"/>
    <w:semiHidden/>
    <w:rsid w:val="006B63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uiPriority w:val="9"/>
    <w:semiHidden/>
    <w:rsid w:val="006B63E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uiPriority w:val="9"/>
    <w:semiHidden/>
    <w:rsid w:val="006B63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uiPriority w:val="9"/>
    <w:semiHidden/>
    <w:rsid w:val="006B63E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uiPriority w:val="9"/>
    <w:semiHidden/>
    <w:rsid w:val="006B63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uiPriority w:val="9"/>
    <w:semiHidden/>
    <w:rsid w:val="006B63EF"/>
    <w:rPr>
      <w:rFonts w:eastAsiaTheme="majorEastAsia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uiPriority w:val="10"/>
    <w:rsid w:val="006B6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ter">
    <w:name w:val="Subtítulo Caráter"/>
    <w:basedOn w:val="Tipodeletrapredefinidodopargrafo"/>
    <w:uiPriority w:val="11"/>
    <w:rsid w:val="006B6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arter">
    <w:name w:val="Citação Caráter"/>
    <w:basedOn w:val="Tipodeletrapredefinidodopargrafo"/>
    <w:uiPriority w:val="29"/>
    <w:rsid w:val="006B63EF"/>
    <w:rPr>
      <w:i/>
      <w:iCs/>
      <w:color w:val="404040" w:themeColor="text1" w:themeTint="BF"/>
    </w:rPr>
  </w:style>
  <w:style w:type="character" w:customStyle="1" w:styleId="CitaoIntensaCarter">
    <w:name w:val="Citação Intensa Caráter"/>
    <w:basedOn w:val="Tipodeletrapredefinidodopargrafo"/>
    <w:uiPriority w:val="30"/>
    <w:rsid w:val="006B63EF"/>
    <w:rPr>
      <w:i/>
      <w:iCs/>
      <w:color w:val="0F4761" w:themeColor="accent1" w:themeShade="BF"/>
    </w:rPr>
  </w:style>
  <w:style w:type="character" w:styleId="Hiperligao">
    <w:name w:val="Hyperlink"/>
    <w:basedOn w:val="Tipodeletrapredefinidodopargrafo"/>
    <w:uiPriority w:val="99"/>
    <w:unhideWhenUsed/>
    <w:rsid w:val="00FF2632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unice.gaspar@lift.com.pt" TargetMode="External"/><Relationship Id="rId4" Type="http://schemas.openxmlformats.org/officeDocument/2006/relationships/styles" Target="styles.xml"/><Relationship Id="rId9" Type="http://schemas.openxmlformats.org/officeDocument/2006/relationships/hyperlink" Target="mailto:ana.santos@lift.com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4967f-e124-43f3-a68f-dac69c34bad6">
      <Terms xmlns="http://schemas.microsoft.com/office/infopath/2007/PartnerControls"/>
    </lcf76f155ced4ddcb4097134ff3c332f>
    <TaxCatchAll xmlns="c17badae-82f5-44c6-a5ed-7d84be8fc9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439792540114CACC1B0E6A3C20D03" ma:contentTypeVersion="19" ma:contentTypeDescription="Create a new document." ma:contentTypeScope="" ma:versionID="615f1fa2ce061b9dd3044f5f2855b2f9">
  <xsd:schema xmlns:xsd="http://www.w3.org/2001/XMLSchema" xmlns:xs="http://www.w3.org/2001/XMLSchema" xmlns:p="http://schemas.microsoft.com/office/2006/metadata/properties" xmlns:ns2="92d4967f-e124-43f3-a68f-dac69c34bad6" xmlns:ns3="c17badae-82f5-44c6-a5ed-7d84be8fc952" targetNamespace="http://schemas.microsoft.com/office/2006/metadata/properties" ma:root="true" ma:fieldsID="1edd21545525e1513e275211c9b4e08a" ns2:_="" ns3:_="">
    <xsd:import namespace="92d4967f-e124-43f3-a68f-dac69c34bad6"/>
    <xsd:import namespace="c17badae-82f5-44c6-a5ed-7d84be8f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967f-e124-43f3-a68f-dac69c34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adae-82f5-44c6-a5ed-7d84be8fc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bd9501-ea29-4620-9619-61cd4248534c}" ma:internalName="TaxCatchAll" ma:showField="CatchAllData" ma:web="c17badae-82f5-44c6-a5ed-7d84be8f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C826D-3937-4085-9983-B6FB3AFA1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A6512-53A7-432F-92CE-7AD120DE8B62}">
  <ds:schemaRefs>
    <ds:schemaRef ds:uri="http://schemas.microsoft.com/office/2006/metadata/properties"/>
    <ds:schemaRef ds:uri="http://schemas.microsoft.com/office/infopath/2007/PartnerControls"/>
    <ds:schemaRef ds:uri="92d4967f-e124-43f3-a68f-dac69c34bad6"/>
    <ds:schemaRef ds:uri="c17badae-82f5-44c6-a5ed-7d84be8fc952"/>
  </ds:schemaRefs>
</ds:datastoreItem>
</file>

<file path=customXml/itemProps3.xml><?xml version="1.0" encoding="utf-8"?>
<ds:datastoreItem xmlns:ds="http://schemas.openxmlformats.org/officeDocument/2006/customXml" ds:itemID="{2E0E29D0-019B-422A-9F7C-3116C6ECA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4967f-e124-43f3-a68f-dac69c34bad6"/>
    <ds:schemaRef ds:uri="c17badae-82f5-44c6-a5ed-7d84be8f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1370</Words>
  <Characters>7553</Characters>
  <Application>Microsoft Office Word</Application>
  <DocSecurity>0</DocSecurity>
  <Lines>148</Lines>
  <Paragraphs>32</Paragraphs>
  <ScaleCrop>false</ScaleCrop>
  <Company>NTT Data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Magali Tamburelli</dc:creator>
  <cp:keywords/>
  <dc:description/>
  <cp:lastModifiedBy>Ana Santos</cp:lastModifiedBy>
  <cp:revision>4</cp:revision>
  <dcterms:created xsi:type="dcterms:W3CDTF">2026-06-11T09:13:00Z</dcterms:created>
  <dcterms:modified xsi:type="dcterms:W3CDTF">2026-06-11T10:19:00Z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0x010100C64439792540114CACC1B0E6A3C20D03</vt:lpwstr>
  </property>
  <property fmtid="{D5CDD505-2E9C-101B-9397-08002B2CF9AE}" pid="3" name="MediaServiceImageTags">
    <vt:lpwstr/>
  </property>
</Properties>
</file>