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684CA9A7" w:rsidR="00B70F1A" w:rsidRPr="00253B96" w:rsidRDefault="00AE4219" w:rsidP="00B70F1A">
      <w:pPr>
        <w:pStyle w:val="AKAPIT"/>
        <w:jc w:val="right"/>
      </w:pPr>
      <w:r w:rsidRPr="00253B96">
        <w:t>Wrocław</w:t>
      </w:r>
      <w:r w:rsidR="00B70F1A" w:rsidRPr="00253B96">
        <w:t xml:space="preserve">, </w:t>
      </w:r>
      <w:r w:rsidR="00786ECA">
        <w:t>11</w:t>
      </w:r>
      <w:r w:rsidR="002A17A4" w:rsidRPr="00253B96">
        <w:t>.</w:t>
      </w:r>
      <w:r w:rsidR="00756C8B" w:rsidRPr="00253B96">
        <w:t>0</w:t>
      </w:r>
      <w:r w:rsidR="00786ECA">
        <w:t>6</w:t>
      </w:r>
      <w:r w:rsidR="002A17A4" w:rsidRPr="00253B96">
        <w:t>.202</w:t>
      </w:r>
      <w:r w:rsidR="00756C8B" w:rsidRPr="00253B96">
        <w:t>6</w:t>
      </w:r>
      <w:r w:rsidR="00B70F1A" w:rsidRPr="00253B96">
        <w:t xml:space="preserve"> r.</w:t>
      </w:r>
    </w:p>
    <w:p w14:paraId="32DE2CBD" w14:textId="77777777" w:rsidR="00F324BB" w:rsidRPr="00253B96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69EF6B66" w14:textId="60155205" w:rsidR="00786ECA" w:rsidRPr="00786ECA" w:rsidRDefault="00786ECA" w:rsidP="00786ECA">
      <w:pPr>
        <w:jc w:val="left"/>
        <w:rPr>
          <w:rFonts w:ascii="Pretty SemiBold" w:hAnsi="Pretty SemiBold"/>
          <w:b/>
          <w:bCs/>
          <w:noProof/>
          <w:sz w:val="22"/>
          <w:szCs w:val="22"/>
        </w:rPr>
      </w:pPr>
      <w:r w:rsidRPr="00786ECA">
        <w:rPr>
          <w:rFonts w:ascii="Pretty SemiBold" w:hAnsi="Pretty SemiBold"/>
          <w:b/>
          <w:bCs/>
          <w:noProof/>
          <w:sz w:val="22"/>
          <w:szCs w:val="22"/>
        </w:rPr>
        <w:t xml:space="preserve">Czterdzieści lat tworzenia miast. </w:t>
      </w:r>
      <w:r>
        <w:rPr>
          <w:rFonts w:ascii="Pretty SemiBold" w:hAnsi="Pretty SemiBold"/>
          <w:b/>
          <w:bCs/>
          <w:noProof/>
          <w:sz w:val="22"/>
          <w:szCs w:val="22"/>
        </w:rPr>
        <w:br/>
      </w:r>
      <w:r w:rsidRPr="00786ECA">
        <w:rPr>
          <w:rFonts w:ascii="Pretty SemiBold" w:hAnsi="Pretty SemiBold"/>
          <w:b/>
          <w:bCs/>
          <w:noProof/>
          <w:sz w:val="22"/>
          <w:szCs w:val="22"/>
        </w:rPr>
        <w:t>Archicom świętuje jubileusz i otwiera drzwi dla kupujących</w:t>
      </w:r>
    </w:p>
    <w:p w14:paraId="2DCEC146" w14:textId="3858613F" w:rsidR="000474E7" w:rsidRPr="00253B96" w:rsidRDefault="000474E7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</w:p>
    <w:p w14:paraId="7193B04B" w14:textId="77777777" w:rsidR="00786ECA" w:rsidRPr="00786ECA" w:rsidRDefault="00786ECA" w:rsidP="00786ECA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786ECA">
        <w:rPr>
          <w:rFonts w:ascii="Pretty SemiBold" w:hAnsi="Pretty SemiBold"/>
          <w:b/>
          <w:bCs/>
          <w:noProof/>
          <w:sz w:val="22"/>
          <w:szCs w:val="22"/>
        </w:rPr>
        <w:t>Archicom, ogólnopolski deweloper mieszkaniowy z Grupy Echo, wchodzi w kolejną fazę obchodów 40-lecia działalności. Z okazji jubileuszu spółka przygotowała wyjątkową ofertę dla klientów. W weekend 13–14 czerwca we wszystkich biurach sprzedaży w kraju odbędą się Ogólnopolskie Dni Otwarte z rabatami sięgającymi 200 000 zł na wybrane mieszkania.</w:t>
      </w:r>
    </w:p>
    <w:p w14:paraId="6AEF6890" w14:textId="77777777" w:rsidR="003806CA" w:rsidRPr="00253B96" w:rsidRDefault="003806CA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</w:p>
    <w:p w14:paraId="2423D63D" w14:textId="14946249" w:rsidR="00786ECA" w:rsidRPr="00786ECA" w:rsidRDefault="00786ECA" w:rsidP="00786ECA">
      <w:r w:rsidRPr="00786ECA">
        <w:t xml:space="preserve">Jubileusz 40-lecia zbiega się z momentem </w:t>
      </w:r>
      <w:r w:rsidR="00E1798C">
        <w:t>silnej</w:t>
      </w:r>
      <w:r w:rsidRPr="00786ECA">
        <w:t xml:space="preserve"> </w:t>
      </w:r>
      <w:r w:rsidR="00E1798C">
        <w:t xml:space="preserve">pozycji </w:t>
      </w:r>
      <w:r w:rsidRPr="00786ECA">
        <w:t xml:space="preserve">spółki. Przez cztery dekady Archicom ewoluował z lokalnego </w:t>
      </w:r>
      <w:r w:rsidR="001E74CD">
        <w:t>dewelopera</w:t>
      </w:r>
      <w:r w:rsidRPr="00786ECA">
        <w:t xml:space="preserve"> </w:t>
      </w:r>
      <w:r w:rsidR="0040492D">
        <w:t>w</w:t>
      </w:r>
      <w:r w:rsidRPr="00786ECA">
        <w:t xml:space="preserve"> ogólnopolską markę prężnie działającą w Warszawie, </w:t>
      </w:r>
      <w:r w:rsidR="0040492D">
        <w:t>Wrocławiu,</w:t>
      </w:r>
      <w:r w:rsidR="001E74CD">
        <w:t xml:space="preserve"> </w:t>
      </w:r>
      <w:r w:rsidRPr="00786ECA">
        <w:t>Łodzi, Poznaniu, Krakowie i Katowicach. Spółka jest liderem sprzedaży mieszkań w Łodzi i Poznaniu, a jej projekty – takie jak Browary W</w:t>
      </w:r>
      <w:r>
        <w:t>rocławskie</w:t>
      </w:r>
      <w:r w:rsidRPr="00786ECA">
        <w:t xml:space="preserve">, łódzka Fuzja czy poznańska Wieża Jeżyce – zmieniają historyczne, zapomniane kwartały w nowoczesne, wielofunkcyjne ekosystemy miejskie, które </w:t>
      </w:r>
      <w:r>
        <w:t>stają się</w:t>
      </w:r>
      <w:r w:rsidRPr="00786ECA">
        <w:t xml:space="preserve"> przestrzeni</w:t>
      </w:r>
      <w:r>
        <w:t>ami</w:t>
      </w:r>
      <w:r w:rsidRPr="00786ECA">
        <w:t xml:space="preserve"> dobrego życia. </w:t>
      </w:r>
      <w:r>
        <w:t>W ramach obchodów 40-lecia Arch</w:t>
      </w:r>
      <w:r w:rsidR="00BF1EB7">
        <w:t>i</w:t>
      </w:r>
      <w:r>
        <w:t xml:space="preserve">com i 30-lecia Echo Investment firmy zaprosiły do współpracy </w:t>
      </w:r>
      <w:r w:rsidRPr="00786ECA">
        <w:t>legend</w:t>
      </w:r>
      <w:r>
        <w:t>ę</w:t>
      </w:r>
      <w:r w:rsidRPr="00786ECA">
        <w:t xml:space="preserve"> polskiej fotografii Chrisa </w:t>
      </w:r>
      <w:proofErr w:type="spellStart"/>
      <w:r w:rsidRPr="00786ECA">
        <w:t>Niedenthala</w:t>
      </w:r>
      <w:proofErr w:type="spellEnd"/>
      <w:r w:rsidRPr="00786ECA">
        <w:t>,</w:t>
      </w:r>
      <w:r>
        <w:t xml:space="preserve"> który sfotografował codzienne życie na osiedlach </w:t>
      </w:r>
      <w:r w:rsidR="001E74CD">
        <w:t>dewelopera</w:t>
      </w:r>
      <w:r w:rsidRPr="00786ECA">
        <w:t xml:space="preserve">. </w:t>
      </w:r>
    </w:p>
    <w:p w14:paraId="0DDE98A3" w14:textId="778546C2" w:rsidR="00786ECA" w:rsidRPr="00786ECA" w:rsidRDefault="00786ECA" w:rsidP="00786ECA">
      <w:pPr>
        <w:rPr>
          <w:b/>
          <w:bCs/>
        </w:rPr>
      </w:pPr>
      <w:r>
        <w:rPr>
          <w:b/>
          <w:bCs/>
        </w:rPr>
        <w:br/>
      </w:r>
      <w:r w:rsidRPr="00786ECA">
        <w:rPr>
          <w:b/>
          <w:bCs/>
        </w:rPr>
        <w:t>Kapitał uwalniany na nowe projekty</w:t>
      </w:r>
    </w:p>
    <w:p w14:paraId="2F925AB7" w14:textId="753DC7A1" w:rsidR="00786ECA" w:rsidRPr="00786ECA" w:rsidRDefault="00786ECA" w:rsidP="00786ECA">
      <w:r>
        <w:t xml:space="preserve">Jubileusz jest też okazją do zaproponowania klientom wyjątkowych </w:t>
      </w:r>
      <w:r w:rsidR="00823EB7">
        <w:t>ofert zakupu własnego mieszkania</w:t>
      </w:r>
      <w:r>
        <w:t xml:space="preserve">. </w:t>
      </w:r>
      <w:r w:rsidR="00823EB7">
        <w:t>Aktualne</w:t>
      </w:r>
      <w:r>
        <w:t xml:space="preserve"> </w:t>
      </w:r>
      <w:r w:rsidRPr="00786ECA">
        <w:t>promocje to element świadomej strategii biznesowej. Efektywne domykanie sprzedaży w zakończonych fazach inwestycji oraz przeceny wybranych mieszkań w trakcie realizacji pozwalają na optymalizację kosztów operacyjnych i transfer uwolnionego kapitału na nowe projekty, które Archicom planuje uruchomić jeszcze w 2026 roku.</w:t>
      </w:r>
    </w:p>
    <w:p w14:paraId="6BCAB477" w14:textId="5AF6EC41" w:rsidR="00786ECA" w:rsidRDefault="00786ECA" w:rsidP="00786ECA">
      <w:pPr>
        <w:rPr>
          <w:b/>
          <w:bCs/>
        </w:rPr>
      </w:pPr>
      <w:r>
        <w:rPr>
          <w:b/>
          <w:bCs/>
          <w:i/>
          <w:iCs/>
        </w:rPr>
        <w:br/>
      </w:r>
      <w:r w:rsidRPr="00786ECA">
        <w:rPr>
          <w:i/>
          <w:iCs/>
        </w:rPr>
        <w:t xml:space="preserve">– Czterdziesta rocznica obecności na rynku to dla nas nie tylko moment dumy i podsumowań, ale przede wszystkim silny impuls do dalszego rozwoju. Posiadamy </w:t>
      </w:r>
      <w:r>
        <w:rPr>
          <w:i/>
          <w:iCs/>
        </w:rPr>
        <w:t>stabilną</w:t>
      </w:r>
      <w:r w:rsidRPr="00786ECA">
        <w:rPr>
          <w:i/>
          <w:iCs/>
        </w:rPr>
        <w:t xml:space="preserve"> sytuację finansową, która pozwala nam precyzyjnie planować kolejne wielkoskalowe inwestycje. Szybkie domknięcie sprzedaży ostatnich gotowych mieszkań</w:t>
      </w:r>
      <w:r>
        <w:rPr>
          <w:i/>
          <w:iCs/>
        </w:rPr>
        <w:t xml:space="preserve"> pozwala o</w:t>
      </w:r>
      <w:r w:rsidRPr="00786ECA">
        <w:rPr>
          <w:i/>
          <w:iCs/>
        </w:rPr>
        <w:t>granicz</w:t>
      </w:r>
      <w:r>
        <w:rPr>
          <w:i/>
          <w:iCs/>
        </w:rPr>
        <w:t xml:space="preserve">yć </w:t>
      </w:r>
      <w:r w:rsidRPr="00786ECA">
        <w:rPr>
          <w:i/>
          <w:iCs/>
        </w:rPr>
        <w:t>koszty utrzymania gotowych budynków i płynnie prze</w:t>
      </w:r>
      <w:r>
        <w:rPr>
          <w:i/>
          <w:iCs/>
        </w:rPr>
        <w:t>jść</w:t>
      </w:r>
      <w:r w:rsidRPr="00786ECA">
        <w:rPr>
          <w:i/>
          <w:iCs/>
        </w:rPr>
        <w:t xml:space="preserve"> do uruchamiania nowych, spektakularnych projektów m.in. w Warszawie, Łodzi i Wrocławiu, które redefiniują tkankę miejską</w:t>
      </w:r>
      <w:r w:rsidRPr="00786ECA">
        <w:rPr>
          <w:b/>
          <w:bCs/>
        </w:rPr>
        <w:t xml:space="preserve"> – mówi Dawid Wrona, prezes zarządu Archicom. </w:t>
      </w:r>
    </w:p>
    <w:p w14:paraId="1CAEEC7C" w14:textId="5A7A1923" w:rsidR="00786ECA" w:rsidRPr="00786ECA" w:rsidRDefault="00786ECA" w:rsidP="00786ECA">
      <w:pPr>
        <w:rPr>
          <w:b/>
          <w:bCs/>
        </w:rPr>
      </w:pPr>
    </w:p>
    <w:p w14:paraId="7DB307E4" w14:textId="77777777" w:rsidR="00786ECA" w:rsidRPr="00786ECA" w:rsidRDefault="00786ECA" w:rsidP="00786ECA">
      <w:pPr>
        <w:rPr>
          <w:b/>
          <w:bCs/>
        </w:rPr>
      </w:pPr>
      <w:r w:rsidRPr="00786ECA">
        <w:rPr>
          <w:b/>
          <w:bCs/>
        </w:rPr>
        <w:t>Ogólnopolskie Dni Otwarte – 13–14 czerwca</w:t>
      </w:r>
    </w:p>
    <w:p w14:paraId="5842B488" w14:textId="77777777" w:rsidR="00786ECA" w:rsidRPr="00786ECA" w:rsidRDefault="00786ECA" w:rsidP="00786ECA">
      <w:r w:rsidRPr="00786ECA">
        <w:t>Kulminacyjnym punktem jubileuszowych obchodów będą Ogólnopolskie Dni Otwarte, zaplanowane na weekend 13–14 czerwca. We wszystkich biurach sprzedaży Archicom w Polsce – i na wybranych placach budów – na klientów będą czekać doradcy sprzedaży oraz eksperci finansowi gotowi do analizy dostępnych ofert i możliwości finansowania.</w:t>
      </w:r>
    </w:p>
    <w:p w14:paraId="3D13FB37" w14:textId="7FFCFE3C" w:rsidR="00786ECA" w:rsidRPr="00786ECA" w:rsidRDefault="00786ECA" w:rsidP="00786ECA">
      <w:r w:rsidRPr="00786ECA">
        <w:lastRenderedPageBreak/>
        <w:t xml:space="preserve">Akcja „Wielkie Rabaty" obejmuje rabaty do 200 000 zł na wybrane lokale oraz gwarantowane prezenty jubileuszowe dla każdego kupującego – do wyboru: iPhone, </w:t>
      </w:r>
      <w:proofErr w:type="spellStart"/>
      <w:r w:rsidRPr="00786ECA">
        <w:t>Thermomix</w:t>
      </w:r>
      <w:proofErr w:type="spellEnd"/>
      <w:r w:rsidRPr="00786ECA">
        <w:t xml:space="preserve"> lub hulajnoga elektryczna</w:t>
      </w:r>
      <w:r>
        <w:t xml:space="preserve">. </w:t>
      </w:r>
      <w:r w:rsidRPr="00786ECA">
        <w:t xml:space="preserve">Oferta jest ograniczona czasowo. Dotyczy mieszkań we wszystkich segmentach cenowych: od lokali dla kupujących pierwsze mieszkanie, przez większe mieszkania rodzinne, po realizacje </w:t>
      </w:r>
      <w:proofErr w:type="spellStart"/>
      <w:r w:rsidRPr="00786ECA">
        <w:t>premium</w:t>
      </w:r>
      <w:proofErr w:type="spellEnd"/>
      <w:r w:rsidRPr="00786ECA">
        <w:t>.</w:t>
      </w:r>
    </w:p>
    <w:p w14:paraId="7D717F89" w14:textId="77777777" w:rsidR="00786ECA" w:rsidRDefault="00786ECA" w:rsidP="00786ECA">
      <w:pPr>
        <w:rPr>
          <w:b/>
          <w:bCs/>
        </w:rPr>
      </w:pPr>
    </w:p>
    <w:p w14:paraId="35AF1FD1" w14:textId="77777777" w:rsidR="00786ECA" w:rsidRDefault="00786ECA" w:rsidP="003A0614">
      <w:r w:rsidRPr="00786ECA">
        <w:t xml:space="preserve">Działania promocyjne </w:t>
      </w:r>
      <w:proofErr w:type="spellStart"/>
      <w:r w:rsidRPr="00786ECA">
        <w:t>Archicomu</w:t>
      </w:r>
      <w:proofErr w:type="spellEnd"/>
      <w:r w:rsidRPr="00786ECA">
        <w:t xml:space="preserve"> wpisują się w poprawiające się warunki rynkowe. Obniżki stóp procentowych i rosnąca dostępność finansowania hipotecznego sprawiają, że do aktywnych poszukiwań wracają osoby, które wcześniej odkładały decyzję o zakupie. Jubileuszowa oferta </w:t>
      </w:r>
      <w:proofErr w:type="spellStart"/>
      <w:r w:rsidRPr="00786ECA">
        <w:t>Archicomu</w:t>
      </w:r>
      <w:proofErr w:type="spellEnd"/>
      <w:r w:rsidRPr="00786ECA">
        <w:t xml:space="preserve"> jest odpowiedzią na to zainteresowanie.</w:t>
      </w:r>
    </w:p>
    <w:p w14:paraId="52270171" w14:textId="03B4445C" w:rsidR="009B7589" w:rsidRDefault="00786ECA" w:rsidP="003A0614">
      <w:r w:rsidRPr="00786ECA">
        <w:br/>
        <w:t xml:space="preserve">Spółka konsekwentnie zwiększa skalę działalności, dążąc do celu sprzedażowego na poziomie 3200–3500 mieszkań rocznie. Fundamentem dalszego wzrostu i efektywności operacyjnej spółki jest dywersyfikacja – zarówno geograficzna, jak i produktowa. Archicom umacnia pozycję na kluczowych rynkach regionalnych i konsekwentnie rozbudowuje ofertę w segmencie popularnym oraz </w:t>
      </w:r>
      <w:proofErr w:type="spellStart"/>
      <w:r w:rsidRPr="00786ECA">
        <w:t>premium</w:t>
      </w:r>
      <w:proofErr w:type="spellEnd"/>
      <w:r w:rsidRPr="00786ECA">
        <w:t>. Do tego dochodzi zaawansowana cyfryzacja oraz wdrażanie narzędzi AI w procesach projektowania, zarządzania i sprzedaży.  Spółka planuje ekspansję na nowe rynki oraz realizację strategicznego celu wejścia do TOP 3 największych deweloperów mieszkaniowych w Polsce.</w:t>
      </w:r>
    </w:p>
    <w:p w14:paraId="6AB19D25" w14:textId="77777777" w:rsidR="009B7589" w:rsidRDefault="009B7589" w:rsidP="003A0614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2AD4C3D" w14:textId="77777777" w:rsidR="00AE4219" w:rsidRPr="00342A2D" w:rsidRDefault="00AE4219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004D58D4" w14:textId="77777777" w:rsidR="00AE4219" w:rsidRDefault="00AE4219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13957A45" w14:textId="77777777" w:rsidR="00AE4219" w:rsidRDefault="00AE4219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1DE703A1" w14:textId="77777777" w:rsidR="00AE4219" w:rsidRDefault="00AE4219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64E56F1" w14:textId="77777777" w:rsidR="00AE4219" w:rsidRDefault="00AE4219" w:rsidP="00E657BB">
      <w:pPr>
        <w:pStyle w:val="BACKGROUNDER"/>
      </w:pPr>
    </w:p>
    <w:p w14:paraId="16785E87" w14:textId="6693B0C9" w:rsidR="00CD4AAA" w:rsidRPr="0054166F" w:rsidRDefault="00CD4AAA" w:rsidP="00E657BB">
      <w:pPr>
        <w:pStyle w:val="BACKGROUNDER"/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sectPr w:rsidR="00CD4AAA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9FEC" w14:textId="77777777" w:rsidR="00226033" w:rsidRDefault="00226033" w:rsidP="0051173F">
      <w:r>
        <w:separator/>
      </w:r>
    </w:p>
    <w:p w14:paraId="24F00105" w14:textId="77777777" w:rsidR="00226033" w:rsidRDefault="00226033" w:rsidP="0051173F"/>
    <w:p w14:paraId="2663DFF4" w14:textId="77777777" w:rsidR="00226033" w:rsidRDefault="00226033" w:rsidP="0051173F"/>
  </w:endnote>
  <w:endnote w:type="continuationSeparator" w:id="0">
    <w:p w14:paraId="116BE9EA" w14:textId="77777777" w:rsidR="00226033" w:rsidRDefault="00226033" w:rsidP="0051173F">
      <w:r>
        <w:continuationSeparator/>
      </w:r>
    </w:p>
    <w:p w14:paraId="73F95F71" w14:textId="77777777" w:rsidR="00226033" w:rsidRDefault="00226033" w:rsidP="0051173F"/>
    <w:p w14:paraId="40CF5D0C" w14:textId="77777777" w:rsidR="00226033" w:rsidRDefault="00226033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  <w:font w:name="Pretty SemiBold"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C769" w14:textId="77777777" w:rsidR="00226033" w:rsidRDefault="00226033" w:rsidP="0051173F">
      <w:r>
        <w:separator/>
      </w:r>
    </w:p>
    <w:p w14:paraId="278CDD3D" w14:textId="77777777" w:rsidR="00226033" w:rsidRDefault="00226033" w:rsidP="0051173F"/>
    <w:p w14:paraId="62103BAF" w14:textId="77777777" w:rsidR="00226033" w:rsidRDefault="00226033" w:rsidP="0051173F"/>
  </w:footnote>
  <w:footnote w:type="continuationSeparator" w:id="0">
    <w:p w14:paraId="467ED662" w14:textId="77777777" w:rsidR="00226033" w:rsidRDefault="00226033" w:rsidP="0051173F">
      <w:r>
        <w:continuationSeparator/>
      </w:r>
    </w:p>
    <w:p w14:paraId="0AF34FFC" w14:textId="77777777" w:rsidR="00226033" w:rsidRDefault="00226033" w:rsidP="0051173F"/>
    <w:p w14:paraId="33503CFB" w14:textId="77777777" w:rsidR="00226033" w:rsidRDefault="00226033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277CD"/>
    <w:rsid w:val="0003131D"/>
    <w:rsid w:val="00035F5E"/>
    <w:rsid w:val="00037DC7"/>
    <w:rsid w:val="000474E7"/>
    <w:rsid w:val="0006409E"/>
    <w:rsid w:val="00071913"/>
    <w:rsid w:val="00094518"/>
    <w:rsid w:val="000A0335"/>
    <w:rsid w:val="000A3493"/>
    <w:rsid w:val="000B0D3F"/>
    <w:rsid w:val="000C1AC2"/>
    <w:rsid w:val="000C5FF9"/>
    <w:rsid w:val="000D645E"/>
    <w:rsid w:val="000F4500"/>
    <w:rsid w:val="00104F05"/>
    <w:rsid w:val="00115D74"/>
    <w:rsid w:val="00161E2A"/>
    <w:rsid w:val="001670F9"/>
    <w:rsid w:val="00167CB7"/>
    <w:rsid w:val="00183E17"/>
    <w:rsid w:val="00187CE8"/>
    <w:rsid w:val="001927C4"/>
    <w:rsid w:val="00195DE8"/>
    <w:rsid w:val="001A6E71"/>
    <w:rsid w:val="001B2F98"/>
    <w:rsid w:val="001D4256"/>
    <w:rsid w:val="001D43AB"/>
    <w:rsid w:val="001E1DF4"/>
    <w:rsid w:val="001E5E7D"/>
    <w:rsid w:val="001E74CD"/>
    <w:rsid w:val="001E78C2"/>
    <w:rsid w:val="001F3185"/>
    <w:rsid w:val="001F533F"/>
    <w:rsid w:val="002038B6"/>
    <w:rsid w:val="00211C3C"/>
    <w:rsid w:val="0021229B"/>
    <w:rsid w:val="00226033"/>
    <w:rsid w:val="00232212"/>
    <w:rsid w:val="0024635B"/>
    <w:rsid w:val="00252DA5"/>
    <w:rsid w:val="00253B96"/>
    <w:rsid w:val="00253F3E"/>
    <w:rsid w:val="00255661"/>
    <w:rsid w:val="002617BA"/>
    <w:rsid w:val="00262239"/>
    <w:rsid w:val="0028469F"/>
    <w:rsid w:val="002941AB"/>
    <w:rsid w:val="00296ACD"/>
    <w:rsid w:val="002A17A4"/>
    <w:rsid w:val="002A67C0"/>
    <w:rsid w:val="002B4E0A"/>
    <w:rsid w:val="002B7220"/>
    <w:rsid w:val="002D283C"/>
    <w:rsid w:val="002D2D23"/>
    <w:rsid w:val="002E0E62"/>
    <w:rsid w:val="002F0F03"/>
    <w:rsid w:val="002F45A5"/>
    <w:rsid w:val="002F4F15"/>
    <w:rsid w:val="00301672"/>
    <w:rsid w:val="00305370"/>
    <w:rsid w:val="00310C4B"/>
    <w:rsid w:val="00317679"/>
    <w:rsid w:val="003249F3"/>
    <w:rsid w:val="00342A2D"/>
    <w:rsid w:val="003546EC"/>
    <w:rsid w:val="003616BD"/>
    <w:rsid w:val="00362825"/>
    <w:rsid w:val="003806CA"/>
    <w:rsid w:val="0038359C"/>
    <w:rsid w:val="00393FE6"/>
    <w:rsid w:val="003A0614"/>
    <w:rsid w:val="003A6B5C"/>
    <w:rsid w:val="003A728C"/>
    <w:rsid w:val="003B4EB8"/>
    <w:rsid w:val="003B5F22"/>
    <w:rsid w:val="003E4C1E"/>
    <w:rsid w:val="0040492D"/>
    <w:rsid w:val="00441A5B"/>
    <w:rsid w:val="00464649"/>
    <w:rsid w:val="004804DB"/>
    <w:rsid w:val="00492A14"/>
    <w:rsid w:val="00492B84"/>
    <w:rsid w:val="00496696"/>
    <w:rsid w:val="004A10CB"/>
    <w:rsid w:val="004A2761"/>
    <w:rsid w:val="004A2D36"/>
    <w:rsid w:val="004C71DD"/>
    <w:rsid w:val="004D7122"/>
    <w:rsid w:val="004E7DA8"/>
    <w:rsid w:val="004F49E2"/>
    <w:rsid w:val="004F6788"/>
    <w:rsid w:val="004F6E0D"/>
    <w:rsid w:val="005031F1"/>
    <w:rsid w:val="00504848"/>
    <w:rsid w:val="0051173F"/>
    <w:rsid w:val="00513317"/>
    <w:rsid w:val="00532B91"/>
    <w:rsid w:val="0053698D"/>
    <w:rsid w:val="00536E75"/>
    <w:rsid w:val="0054166F"/>
    <w:rsid w:val="00543799"/>
    <w:rsid w:val="00546ED8"/>
    <w:rsid w:val="00550E1A"/>
    <w:rsid w:val="00551F6D"/>
    <w:rsid w:val="00554343"/>
    <w:rsid w:val="005A5E26"/>
    <w:rsid w:val="005B4E8B"/>
    <w:rsid w:val="005D1AE3"/>
    <w:rsid w:val="005D35AA"/>
    <w:rsid w:val="005E32D5"/>
    <w:rsid w:val="005E6A22"/>
    <w:rsid w:val="005F0E73"/>
    <w:rsid w:val="005F1D38"/>
    <w:rsid w:val="00600825"/>
    <w:rsid w:val="006017D0"/>
    <w:rsid w:val="00601E9A"/>
    <w:rsid w:val="00606B00"/>
    <w:rsid w:val="00611B27"/>
    <w:rsid w:val="00654EDB"/>
    <w:rsid w:val="00662844"/>
    <w:rsid w:val="00662A84"/>
    <w:rsid w:val="00665E80"/>
    <w:rsid w:val="00674F28"/>
    <w:rsid w:val="00680DEA"/>
    <w:rsid w:val="00684B7A"/>
    <w:rsid w:val="00684EA5"/>
    <w:rsid w:val="00691EFD"/>
    <w:rsid w:val="006A0907"/>
    <w:rsid w:val="006C30C4"/>
    <w:rsid w:val="006D01DF"/>
    <w:rsid w:val="006D7CEB"/>
    <w:rsid w:val="006D7DB6"/>
    <w:rsid w:val="007030A7"/>
    <w:rsid w:val="007350F9"/>
    <w:rsid w:val="00736244"/>
    <w:rsid w:val="00756C8B"/>
    <w:rsid w:val="00760ECF"/>
    <w:rsid w:val="00786ECA"/>
    <w:rsid w:val="00793A96"/>
    <w:rsid w:val="00796A2A"/>
    <w:rsid w:val="007A67EB"/>
    <w:rsid w:val="007B26C4"/>
    <w:rsid w:val="007D4A16"/>
    <w:rsid w:val="007E15E9"/>
    <w:rsid w:val="007F0695"/>
    <w:rsid w:val="0080790E"/>
    <w:rsid w:val="0081240F"/>
    <w:rsid w:val="00823EB7"/>
    <w:rsid w:val="00845855"/>
    <w:rsid w:val="008638D1"/>
    <w:rsid w:val="00874B4E"/>
    <w:rsid w:val="00882BF8"/>
    <w:rsid w:val="008831FA"/>
    <w:rsid w:val="008973DE"/>
    <w:rsid w:val="008B555D"/>
    <w:rsid w:val="008D1C50"/>
    <w:rsid w:val="008D51A8"/>
    <w:rsid w:val="008E0492"/>
    <w:rsid w:val="00904AD9"/>
    <w:rsid w:val="00924397"/>
    <w:rsid w:val="0094777D"/>
    <w:rsid w:val="00962611"/>
    <w:rsid w:val="0096455F"/>
    <w:rsid w:val="00967067"/>
    <w:rsid w:val="00970B28"/>
    <w:rsid w:val="009741B5"/>
    <w:rsid w:val="0099079E"/>
    <w:rsid w:val="00990B09"/>
    <w:rsid w:val="009A3655"/>
    <w:rsid w:val="009B3461"/>
    <w:rsid w:val="009B5103"/>
    <w:rsid w:val="009B7589"/>
    <w:rsid w:val="009C5620"/>
    <w:rsid w:val="009C56CA"/>
    <w:rsid w:val="009E499B"/>
    <w:rsid w:val="009F738E"/>
    <w:rsid w:val="00A02C42"/>
    <w:rsid w:val="00A164D0"/>
    <w:rsid w:val="00A201BE"/>
    <w:rsid w:val="00A240A7"/>
    <w:rsid w:val="00A26347"/>
    <w:rsid w:val="00A32A1A"/>
    <w:rsid w:val="00A43FC1"/>
    <w:rsid w:val="00A479AE"/>
    <w:rsid w:val="00A61373"/>
    <w:rsid w:val="00A667E1"/>
    <w:rsid w:val="00A96F6A"/>
    <w:rsid w:val="00AC4FC3"/>
    <w:rsid w:val="00AC6418"/>
    <w:rsid w:val="00AD0B40"/>
    <w:rsid w:val="00AD640C"/>
    <w:rsid w:val="00AD6F8C"/>
    <w:rsid w:val="00AE4219"/>
    <w:rsid w:val="00AF2BF7"/>
    <w:rsid w:val="00B16268"/>
    <w:rsid w:val="00B218DC"/>
    <w:rsid w:val="00B64959"/>
    <w:rsid w:val="00B70F1A"/>
    <w:rsid w:val="00B779BD"/>
    <w:rsid w:val="00B80A30"/>
    <w:rsid w:val="00B931B5"/>
    <w:rsid w:val="00BA00CD"/>
    <w:rsid w:val="00BB1B04"/>
    <w:rsid w:val="00BD2589"/>
    <w:rsid w:val="00BF1EB7"/>
    <w:rsid w:val="00BF2877"/>
    <w:rsid w:val="00C10326"/>
    <w:rsid w:val="00C1041D"/>
    <w:rsid w:val="00C1394A"/>
    <w:rsid w:val="00C205EC"/>
    <w:rsid w:val="00C26CD1"/>
    <w:rsid w:val="00C31FA5"/>
    <w:rsid w:val="00C44AD6"/>
    <w:rsid w:val="00C52E2C"/>
    <w:rsid w:val="00C6034F"/>
    <w:rsid w:val="00C73CC6"/>
    <w:rsid w:val="00C746A5"/>
    <w:rsid w:val="00C75DF3"/>
    <w:rsid w:val="00C821E3"/>
    <w:rsid w:val="00C90564"/>
    <w:rsid w:val="00C945CC"/>
    <w:rsid w:val="00C968C5"/>
    <w:rsid w:val="00CD1CE1"/>
    <w:rsid w:val="00CD4AAA"/>
    <w:rsid w:val="00CE1112"/>
    <w:rsid w:val="00CF1FD9"/>
    <w:rsid w:val="00D05812"/>
    <w:rsid w:val="00D16BDC"/>
    <w:rsid w:val="00D20F47"/>
    <w:rsid w:val="00D25999"/>
    <w:rsid w:val="00D25B9F"/>
    <w:rsid w:val="00D33CB7"/>
    <w:rsid w:val="00D41F28"/>
    <w:rsid w:val="00D5195F"/>
    <w:rsid w:val="00D5437F"/>
    <w:rsid w:val="00D67A36"/>
    <w:rsid w:val="00D76979"/>
    <w:rsid w:val="00DA7B8F"/>
    <w:rsid w:val="00DB17D8"/>
    <w:rsid w:val="00DB7D24"/>
    <w:rsid w:val="00DC5EB3"/>
    <w:rsid w:val="00DC7368"/>
    <w:rsid w:val="00DD4E50"/>
    <w:rsid w:val="00DF5DBC"/>
    <w:rsid w:val="00E02A63"/>
    <w:rsid w:val="00E147F1"/>
    <w:rsid w:val="00E1798C"/>
    <w:rsid w:val="00E37BD4"/>
    <w:rsid w:val="00E44358"/>
    <w:rsid w:val="00E52AEA"/>
    <w:rsid w:val="00E56CEA"/>
    <w:rsid w:val="00E60B63"/>
    <w:rsid w:val="00E620BD"/>
    <w:rsid w:val="00E657BB"/>
    <w:rsid w:val="00E71A30"/>
    <w:rsid w:val="00E7534C"/>
    <w:rsid w:val="00E940A6"/>
    <w:rsid w:val="00E9562D"/>
    <w:rsid w:val="00E97F38"/>
    <w:rsid w:val="00EA6592"/>
    <w:rsid w:val="00EA7DDB"/>
    <w:rsid w:val="00EC52BF"/>
    <w:rsid w:val="00ED794C"/>
    <w:rsid w:val="00EE256D"/>
    <w:rsid w:val="00EE7203"/>
    <w:rsid w:val="00F01F0F"/>
    <w:rsid w:val="00F1302F"/>
    <w:rsid w:val="00F324BB"/>
    <w:rsid w:val="00F65A58"/>
    <w:rsid w:val="00F679B3"/>
    <w:rsid w:val="00F73366"/>
    <w:rsid w:val="00F73CB9"/>
    <w:rsid w:val="00F85F88"/>
    <w:rsid w:val="00F9566B"/>
    <w:rsid w:val="00F97466"/>
    <w:rsid w:val="00FA1B26"/>
    <w:rsid w:val="00FB50FB"/>
    <w:rsid w:val="00FC0D0A"/>
    <w:rsid w:val="00FC4EB0"/>
    <w:rsid w:val="00FD7912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Poprawka">
    <w:name w:val="Revision"/>
    <w:hidden/>
    <w:uiPriority w:val="99"/>
    <w:semiHidden/>
    <w:rsid w:val="00252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45E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5E"/>
    <w:rPr>
      <w:rFonts w:ascii="Pretty" w:hAnsi="Pretty" w:cs="Pretty"/>
      <w:b/>
      <w:bCs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4C71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Owdziej | cc group</dc:creator>
  <cp:lastModifiedBy>Anna Stochaj</cp:lastModifiedBy>
  <cp:revision>5</cp:revision>
  <dcterms:created xsi:type="dcterms:W3CDTF">2026-06-10T19:45:00Z</dcterms:created>
  <dcterms:modified xsi:type="dcterms:W3CDTF">2026-06-10T19:54:00Z</dcterms:modified>
</cp:coreProperties>
</file>