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8C0B76" w:rsidRPr="008C0B76" w14:paraId="5767DAF6" w14:textId="77777777" w:rsidTr="00F47D26">
        <w:trPr>
          <w:trHeight w:hRule="exact" w:val="300"/>
        </w:trPr>
        <w:tc>
          <w:tcPr>
            <w:tcW w:w="8504" w:type="dxa"/>
          </w:tcPr>
          <w:p w14:paraId="32007A7D" w14:textId="77777777" w:rsidR="008C0B76" w:rsidRPr="008D1132" w:rsidRDefault="00C31EFC" w:rsidP="008D1132">
            <w:pPr>
              <w:pStyle w:val="Intitul"/>
            </w:pPr>
            <w:r>
              <w:t>Informacja prasow</w:t>
            </w:r>
            <w:r w:rsidR="00CC7B62">
              <w:t>a</w:t>
            </w:r>
          </w:p>
        </w:tc>
      </w:tr>
      <w:tr w:rsidR="008C0B76" w:rsidRPr="00FC3B6B" w14:paraId="4FC7880E" w14:textId="77777777" w:rsidTr="00F47D26">
        <w:trPr>
          <w:trHeight w:hRule="exact" w:val="300"/>
        </w:trPr>
        <w:tc>
          <w:tcPr>
            <w:tcW w:w="8504" w:type="dxa"/>
          </w:tcPr>
          <w:p w14:paraId="4647E922" w14:textId="10561EB2" w:rsidR="008C0B76" w:rsidRPr="00F8433A" w:rsidRDefault="00F8433A" w:rsidP="00F8433A">
            <w:pPr>
              <w:pStyle w:val="Datedudocument"/>
            </w:pPr>
            <w:r w:rsidRPr="00F8433A">
              <w:t>11</w:t>
            </w:r>
            <w:r w:rsidR="00FC3B6B" w:rsidRPr="00F8433A">
              <w:t>.06</w:t>
            </w:r>
            <w:r w:rsidR="00EB5D74" w:rsidRPr="00F8433A">
              <w:t>.</w:t>
            </w:r>
            <w:r w:rsidR="008C0B76" w:rsidRPr="00F8433A">
              <w:t>202</w:t>
            </w:r>
            <w:r w:rsidR="00F969B2" w:rsidRPr="00F8433A">
              <w:t>6</w:t>
            </w:r>
            <w:bookmarkStart w:id="0" w:name="_GoBack"/>
            <w:bookmarkEnd w:id="0"/>
          </w:p>
        </w:tc>
      </w:tr>
      <w:tr w:rsidR="008C0B76" w:rsidRPr="008C0B76" w14:paraId="1328E170" w14:textId="77777777" w:rsidTr="00F47D26">
        <w:trPr>
          <w:trHeight w:hRule="exact" w:val="851"/>
        </w:trPr>
        <w:tc>
          <w:tcPr>
            <w:tcW w:w="8504" w:type="dxa"/>
          </w:tcPr>
          <w:p w14:paraId="34BB5E99" w14:textId="77777777" w:rsidR="008C0B76" w:rsidRPr="008C0B76" w:rsidRDefault="008C0B76" w:rsidP="008C0B76">
            <w:pPr>
              <w:jc w:val="right"/>
              <w:rPr>
                <w:color w:val="auto"/>
                <w:sz w:val="28"/>
                <w:szCs w:val="28"/>
              </w:rPr>
            </w:pPr>
          </w:p>
        </w:tc>
      </w:tr>
    </w:tbl>
    <w:p w14:paraId="225D2E9A" w14:textId="77777777" w:rsidR="009E760D" w:rsidRPr="00716C8D" w:rsidRDefault="003E3941" w:rsidP="00F6260C">
      <w:pPr>
        <w:pStyle w:val="Textedesaisie"/>
        <w:jc w:val="center"/>
        <w:rPr>
          <w:rFonts w:asciiTheme="majorHAnsi" w:eastAsiaTheme="majorEastAsia" w:hAnsiTheme="majorHAnsi" w:cstheme="majorBidi"/>
          <w:b/>
          <w:bCs/>
          <w:color w:val="2596BE"/>
          <w:sz w:val="36"/>
          <w:szCs w:val="36"/>
          <w:lang w:val="pl-PL"/>
        </w:rPr>
      </w:pPr>
      <w:r w:rsidRPr="00716C8D">
        <w:rPr>
          <w:rFonts w:asciiTheme="majorHAnsi" w:eastAsiaTheme="majorEastAsia" w:hAnsiTheme="majorHAnsi" w:cstheme="majorBidi"/>
          <w:b/>
          <w:bCs/>
          <w:color w:val="2596BE"/>
          <w:sz w:val="36"/>
          <w:szCs w:val="36"/>
          <w:lang w:val="pl-PL"/>
        </w:rPr>
        <w:t>ENGIE umacnia pozycję na polskim rynku ciepłowniczym. Kogeneracja Karlino z nowym inwestorem</w:t>
      </w:r>
    </w:p>
    <w:p w14:paraId="6BD1842A" w14:textId="77777777" w:rsidR="003E3941" w:rsidRPr="00716C8D" w:rsidRDefault="003E3941" w:rsidP="00F6260C">
      <w:pPr>
        <w:pStyle w:val="Textedesaisie"/>
        <w:jc w:val="center"/>
        <w:rPr>
          <w:b/>
          <w:lang w:val="pl-PL"/>
        </w:rPr>
      </w:pPr>
    </w:p>
    <w:p w14:paraId="5FC81E44" w14:textId="77777777" w:rsidR="00E60415" w:rsidRPr="00716C8D" w:rsidRDefault="00E60415" w:rsidP="00E60415">
      <w:pPr>
        <w:pStyle w:val="Textedesaisie"/>
        <w:rPr>
          <w:b/>
          <w:lang w:val="pl-PL"/>
        </w:rPr>
      </w:pPr>
      <w:r w:rsidRPr="00716C8D">
        <w:rPr>
          <w:b/>
          <w:lang w:val="pl-PL"/>
        </w:rPr>
        <w:t>ENGIE Services, spółka należąca do międzynarodowej Grupy ENGIE, sfinalizowała przejęcie Kogeneracji Karlino w województwie zachodniopomorskim. Dla mieszkańców i lokalnego biznesu zmiana inwestora oznacza przede wszystkim gwarancję niezawodnych dostaw ciepła oraz perspektywę wdrożenia nowoczesnych, niskoemisyjnych technologii. To kolejna, bezpośrednio po niedawnej transakcji w dolnośląskim Miliczu, strategiczna inwestycja Grupy w unowocześnianie lokalnej infrastruktury komunalnej na polskim rynku.</w:t>
      </w:r>
    </w:p>
    <w:p w14:paraId="1B3DFCD5" w14:textId="77777777" w:rsidR="00E60415" w:rsidRPr="00716C8D" w:rsidRDefault="00E60415" w:rsidP="00E60415">
      <w:pPr>
        <w:pStyle w:val="Textedesaisie"/>
        <w:rPr>
          <w:b/>
          <w:lang w:val="pl-PL"/>
        </w:rPr>
      </w:pPr>
    </w:p>
    <w:p w14:paraId="341940F6" w14:textId="7AAD88BC" w:rsidR="00E60415" w:rsidRPr="00716C8D" w:rsidRDefault="00E60415" w:rsidP="00E60415">
      <w:pPr>
        <w:pStyle w:val="Textedesaisie"/>
        <w:rPr>
          <w:lang w:val="pl-PL"/>
        </w:rPr>
      </w:pPr>
      <w:r w:rsidRPr="00716C8D">
        <w:rPr>
          <w:lang w:val="pl-PL"/>
        </w:rPr>
        <w:t>Przejmowana przez Grupę spółka stanowi kluczowy element miejskiego systemu energetycznego. Spółka zarządza trzema kotłowniami gazowymi o łącznej mocy</w:t>
      </w:r>
      <w:r w:rsidR="0020175C">
        <w:rPr>
          <w:lang w:val="pl-PL"/>
        </w:rPr>
        <w:t xml:space="preserve"> zainstalowanej</w:t>
      </w:r>
      <w:r w:rsidRPr="00716C8D">
        <w:rPr>
          <w:lang w:val="pl-PL"/>
        </w:rPr>
        <w:t xml:space="preserve"> 5,2 </w:t>
      </w:r>
      <w:proofErr w:type="spellStart"/>
      <w:r w:rsidRPr="00716C8D">
        <w:rPr>
          <w:lang w:val="pl-PL"/>
        </w:rPr>
        <w:t>MWt</w:t>
      </w:r>
      <w:proofErr w:type="spellEnd"/>
      <w:r w:rsidR="0020175C">
        <w:rPr>
          <w:lang w:val="pl-PL"/>
        </w:rPr>
        <w:t xml:space="preserve"> oraz mocy zamówionej 4,2 </w:t>
      </w:r>
      <w:proofErr w:type="spellStart"/>
      <w:r w:rsidR="0020175C">
        <w:rPr>
          <w:lang w:val="pl-PL"/>
        </w:rPr>
        <w:t>MWt</w:t>
      </w:r>
      <w:proofErr w:type="spellEnd"/>
      <w:r w:rsidRPr="00716C8D">
        <w:rPr>
          <w:lang w:val="pl-PL"/>
        </w:rPr>
        <w:t xml:space="preserve"> oraz zmodernizowaną siecią ciepłowniczą o długości blisko 5 kilometr</w:t>
      </w:r>
      <w:r w:rsidR="00E22EE3">
        <w:rPr>
          <w:lang w:val="pl-PL"/>
        </w:rPr>
        <w:t>ów</w:t>
      </w:r>
      <w:r w:rsidRPr="00716C8D">
        <w:rPr>
          <w:lang w:val="pl-PL"/>
        </w:rPr>
        <w:t>, zaopatrując</w:t>
      </w:r>
      <w:r w:rsidR="0020175C">
        <w:rPr>
          <w:lang w:val="pl-PL"/>
        </w:rPr>
        <w:t>ą</w:t>
      </w:r>
      <w:r w:rsidRPr="00716C8D">
        <w:rPr>
          <w:lang w:val="pl-PL"/>
        </w:rPr>
        <w:t xml:space="preserve"> w ciepło i ciepłą wodę użytkową </w:t>
      </w:r>
      <w:r w:rsidR="00805EE0">
        <w:rPr>
          <w:lang w:val="pl-PL"/>
        </w:rPr>
        <w:t xml:space="preserve">ponad pięćdziesiąt </w:t>
      </w:r>
      <w:r w:rsidRPr="00716C8D">
        <w:rPr>
          <w:lang w:val="pl-PL"/>
        </w:rPr>
        <w:t xml:space="preserve">lokalnych węzłów cieplnych. O stabilności i skali działalności przedsiębiorstwa świadczą wyniki operacyjne – w minionym roku sprzedaż ciepła przekroczyła poziom </w:t>
      </w:r>
      <w:r w:rsidR="0079798F">
        <w:rPr>
          <w:lang w:val="pl-PL"/>
        </w:rPr>
        <w:t>31</w:t>
      </w:r>
      <w:r w:rsidRPr="00716C8D">
        <w:rPr>
          <w:lang w:val="pl-PL"/>
        </w:rPr>
        <w:t xml:space="preserve"> tysięcy GJ. Funkcjonowanie w oparciu o , długoterminowe</w:t>
      </w:r>
      <w:r w:rsidR="0020175C">
        <w:rPr>
          <w:lang w:val="pl-PL"/>
        </w:rPr>
        <w:t xml:space="preserve"> umowy</w:t>
      </w:r>
      <w:r w:rsidRPr="00716C8D">
        <w:rPr>
          <w:lang w:val="pl-PL"/>
        </w:rPr>
        <w:t xml:space="preserve"> </w:t>
      </w:r>
      <w:r w:rsidR="0020175C">
        <w:rPr>
          <w:lang w:val="pl-PL"/>
        </w:rPr>
        <w:t xml:space="preserve">i </w:t>
      </w:r>
      <w:r w:rsidR="0020175C" w:rsidRPr="00716C8D">
        <w:rPr>
          <w:lang w:val="pl-PL"/>
        </w:rPr>
        <w:t xml:space="preserve">ugruntowane </w:t>
      </w:r>
      <w:r w:rsidRPr="00716C8D">
        <w:rPr>
          <w:lang w:val="pl-PL"/>
        </w:rPr>
        <w:t>relacje z odbiorcami tworzą bezpieczne środowisko do prowadzenia działalności i precyzyjnego planowania przyszłych nakładów inwestycyjnych.</w:t>
      </w:r>
    </w:p>
    <w:p w14:paraId="47DDDF14" w14:textId="77777777" w:rsidR="00E60415" w:rsidRPr="00716C8D" w:rsidRDefault="00E60415" w:rsidP="00E60415">
      <w:pPr>
        <w:pStyle w:val="Textedesaisie"/>
        <w:rPr>
          <w:lang w:val="pl-PL"/>
        </w:rPr>
      </w:pPr>
    </w:p>
    <w:p w14:paraId="25C3E792" w14:textId="6E639CD0" w:rsidR="00E60415" w:rsidRPr="00716C8D" w:rsidRDefault="00AA37CD" w:rsidP="00E60415">
      <w:pPr>
        <w:pStyle w:val="Textedesaisie"/>
        <w:rPr>
          <w:lang w:val="pl-PL"/>
        </w:rPr>
      </w:pPr>
      <w:r w:rsidRPr="00716C8D">
        <w:rPr>
          <w:lang w:val="pl-PL"/>
        </w:rPr>
        <w:t xml:space="preserve">To właśnie te stabilne podstawy biznesowe, w połączeniu z wyraźnymi synergiami operacyjnymi, zadecydowały o włączeniu zakładu w struktury ENGIE. </w:t>
      </w:r>
      <w:r w:rsidR="00E60415" w:rsidRPr="00716C8D">
        <w:rPr>
          <w:lang w:val="pl-PL"/>
        </w:rPr>
        <w:t>System oparty w całości na gazie ziemnym stanowi doskonały punkt wyjścia do dalszej poprawy efektywności energetycznej i rozwoju w kierunku net</w:t>
      </w:r>
      <w:r w:rsidR="0020175C">
        <w:rPr>
          <w:lang w:val="pl-PL"/>
        </w:rPr>
        <w:t>-</w:t>
      </w:r>
      <w:r w:rsidR="00E60415" w:rsidRPr="00716C8D">
        <w:rPr>
          <w:lang w:val="pl-PL"/>
        </w:rPr>
        <w:t>zero. Niezwykle istotnym czynnikiem jest również bliskość należącej do ENGIE elektrociepłowni w Słupsku. Geograficzne sąsiedztwo obu ośrodków pozwoli nowemu inwestorowi na optymalizację procesów zarządzania, sprawną wymianę know-how oraz bezpośrednie wykorzystanie kompetencji doświadczonego zespołu technicznego,</w:t>
      </w:r>
      <w:r w:rsidRPr="00716C8D">
        <w:rPr>
          <w:lang w:val="pl-PL"/>
        </w:rPr>
        <w:t xml:space="preserve"> co znacząco przyspieszy integrację nowego podmiotu i ułatwi planowanie jego modernizacji.</w:t>
      </w:r>
    </w:p>
    <w:p w14:paraId="679795B1" w14:textId="77777777" w:rsidR="00E60415" w:rsidRPr="00716C8D" w:rsidRDefault="00E60415" w:rsidP="00E60415">
      <w:pPr>
        <w:pStyle w:val="Textedesaisie"/>
        <w:rPr>
          <w:lang w:val="pl-PL"/>
        </w:rPr>
      </w:pPr>
    </w:p>
    <w:p w14:paraId="64074111" w14:textId="22B44F0E" w:rsidR="00716C8D" w:rsidRPr="00716C8D" w:rsidRDefault="00E60415" w:rsidP="00716C8D">
      <w:pPr>
        <w:pStyle w:val="Textedesaisie"/>
        <w:rPr>
          <w:i/>
          <w:iCs/>
          <w:lang w:val="pl-PL"/>
        </w:rPr>
      </w:pPr>
      <w:r w:rsidRPr="00716C8D">
        <w:rPr>
          <w:lang w:val="pl-PL"/>
        </w:rPr>
        <w:t xml:space="preserve">- </w:t>
      </w:r>
      <w:r w:rsidR="00716C8D" w:rsidRPr="00716C8D">
        <w:rPr>
          <w:i/>
          <w:iCs/>
          <w:lang w:val="pl-PL"/>
        </w:rPr>
        <w:t xml:space="preserve">Ciepłownictwo systemowe odgrywa absolutnie kluczową rolę w procesie transformacji energetycznej, stając się jednym z najważniejszych wyzwań dla lokalnych samorządów – podkreśla Jan Woźniak, Prezes Zarządu ENGIE Services. </w:t>
      </w:r>
      <w:r w:rsidR="00F8433A">
        <w:rPr>
          <w:i/>
          <w:iCs/>
          <w:lang w:val="pl-PL"/>
        </w:rPr>
        <w:t>-</w:t>
      </w:r>
      <w:r w:rsidR="00716C8D" w:rsidRPr="00716C8D">
        <w:rPr>
          <w:i/>
          <w:iCs/>
          <w:lang w:val="pl-PL"/>
        </w:rPr>
        <w:t xml:space="preserve"> Dotyczy to nie tylko wielkich aglomeracji, ale także mniejszych miast </w:t>
      </w:r>
      <w:r w:rsidR="00F8433A">
        <w:rPr>
          <w:i/>
          <w:iCs/>
          <w:lang w:val="pl-PL"/>
        </w:rPr>
        <w:t>-</w:t>
      </w:r>
      <w:r w:rsidR="00716C8D" w:rsidRPr="00716C8D">
        <w:rPr>
          <w:i/>
          <w:iCs/>
          <w:lang w:val="pl-PL"/>
        </w:rPr>
        <w:t xml:space="preserve"> takich jak Karlino. Opierając się na międzynarodowym doświadczeniu oraz technologicznym zapleczu ENGIE, zamierzamy rozwijać ten system w sposób, który z jednej strony zagwarantuje mieszkańcom pełne bezpieczeństwo i stabilność dostaw, a z drugiej skutecznie odpowie na rygorystyczne wymogi unijnej polityki klimatycznej.</w:t>
      </w:r>
    </w:p>
    <w:p w14:paraId="3D569658" w14:textId="5B76CD45" w:rsidR="00E60415" w:rsidRPr="00716C8D" w:rsidRDefault="00E60415" w:rsidP="00E60415">
      <w:pPr>
        <w:pStyle w:val="Textedesaisie"/>
        <w:rPr>
          <w:lang w:val="pl-PL"/>
        </w:rPr>
      </w:pPr>
    </w:p>
    <w:p w14:paraId="51CA9532" w14:textId="77777777" w:rsidR="00AA37CD" w:rsidRPr="00716C8D" w:rsidRDefault="003E3941" w:rsidP="00E60415">
      <w:pPr>
        <w:pStyle w:val="Textedesaisie"/>
        <w:rPr>
          <w:lang w:val="pl-PL"/>
        </w:rPr>
      </w:pPr>
      <w:r w:rsidRPr="00716C8D">
        <w:rPr>
          <w:lang w:val="pl-PL"/>
        </w:rPr>
        <w:t>Inwestycja w Karlinie wpisuje się w długoterminową strategię ENGIE, będącą odpowiedzią na skalę wyzwań polskiego sektora ciepłowniczego. Jak potwierdza raport Forum Energii („Transformacja ciepłownictwa w Polsce. Edycja 2025”)</w:t>
      </w:r>
      <w:r>
        <w:rPr>
          <w:rStyle w:val="Odwoanieprzypisudolnego"/>
        </w:rPr>
        <w:footnoteReference w:id="1"/>
      </w:r>
      <w:r w:rsidRPr="00716C8D">
        <w:rPr>
          <w:lang w:val="pl-PL"/>
        </w:rPr>
        <w:t xml:space="preserve">, krajowa sieć mierząca niemal 23 tys. km to jeden z najbardziej rozbudowanych systemów w Europie, który pilnie wymaga </w:t>
      </w:r>
      <w:r w:rsidRPr="00716C8D">
        <w:rPr>
          <w:lang w:val="pl-PL"/>
        </w:rPr>
        <w:lastRenderedPageBreak/>
        <w:t>kapitałochłonnej dekarbonizacji. Aby skutecznie wspierać tę transformację, Grupa działa wielotorowo. Z jednej strony inwestuje w gotowe aktywa pokroju Karlina czy Milicza, a z drugiej zaś wspiera samorządy, oferując realizację modernizacji w formule partnerstwa publiczno-prywatnego (PPP). Dzięki takiemu kompleksowemu podejściu ENGIE konsekwentnie umacnia pozycję strategicznego partnera polskich miast w procesie transformacji ciepłownictwa.</w:t>
      </w:r>
    </w:p>
    <w:p w14:paraId="63CA8AAF" w14:textId="77777777" w:rsidR="003E3941" w:rsidRDefault="003E3941" w:rsidP="00E60415">
      <w:pPr>
        <w:pStyle w:val="Textedesaisie"/>
        <w:rPr>
          <w:color w:val="auto"/>
          <w:lang w:val="pl-PL"/>
        </w:rPr>
      </w:pPr>
    </w:p>
    <w:p w14:paraId="6C374E83" w14:textId="77777777" w:rsidR="00817193" w:rsidRPr="00CC7B62" w:rsidRDefault="00817193" w:rsidP="00817193">
      <w:pPr>
        <w:pStyle w:val="Textedesaisie"/>
        <w:rPr>
          <w:rStyle w:val="Bold"/>
          <w:rFonts w:cstheme="minorBidi"/>
          <w:b w:val="0"/>
          <w:color w:val="auto"/>
          <w:lang w:val="pl-PL" w:eastAsia="en-US"/>
        </w:rPr>
      </w:pPr>
      <w:r w:rsidRPr="00B23431">
        <w:rPr>
          <w:rStyle w:val="Bold"/>
          <w:lang w:val="pl-PL"/>
        </w:rPr>
        <w:t>O ENGIE Polska</w:t>
      </w:r>
    </w:p>
    <w:p w14:paraId="20CBE9DC" w14:textId="77777777" w:rsidR="00817193" w:rsidRPr="00B23431" w:rsidRDefault="00817193" w:rsidP="00817193">
      <w:pPr>
        <w:pStyle w:val="Texteapropos"/>
        <w:rPr>
          <w:lang w:val="pl-PL"/>
        </w:rPr>
      </w:pPr>
    </w:p>
    <w:p w14:paraId="49D7508C" w14:textId="77777777" w:rsidR="00817193" w:rsidRDefault="00817193" w:rsidP="00817193">
      <w:pPr>
        <w:pStyle w:val="Textedesaisie"/>
        <w:rPr>
          <w:color w:val="auto"/>
          <w:lang w:val="pl-PL"/>
        </w:rPr>
      </w:pPr>
      <w:r w:rsidRPr="00230BD9">
        <w:rPr>
          <w:color w:val="auto"/>
          <w:lang w:val="pl-PL"/>
        </w:rPr>
        <w:t xml:space="preserve">ENGIE jest kluczowym graczem w transformacji energetycznej, której celem jest przyspieszenie przejścia na gospodarkę neutralną pod względem emisji dwutlenku węgla. Zatrudniając ponad 90 000 pracowników w 30 krajach, Grupa obejmuje cały łańcuch wartości energii, od produkcji po infrastrukturę i sprzedaż. ENGIE łączy działania uzupełniające się: produkcję energii odnawialnej i ekologicznego gazu, aktywa elastyczności (zwłaszcza baterie), sieci </w:t>
      </w:r>
      <w:proofErr w:type="spellStart"/>
      <w:r w:rsidRPr="00230BD9">
        <w:rPr>
          <w:color w:val="auto"/>
          <w:lang w:val="pl-PL"/>
        </w:rPr>
        <w:t>przesyłu</w:t>
      </w:r>
      <w:proofErr w:type="spellEnd"/>
      <w:r w:rsidRPr="00230BD9">
        <w:rPr>
          <w:color w:val="auto"/>
          <w:lang w:val="pl-PL"/>
        </w:rPr>
        <w:t xml:space="preserve"> i dystrybucji gazu i energii elektrycznej, lokalną infrastrukturę energetyczną (sieci grzewcze i chłodnicze) oraz dostawy energii do osób prywatnych, władz lokalnych i przedsiębiorstw. Każdego roku ENGIE inwestuje średnio 12 mld euro, aby przyspieszyć transformację energetyczną i osiągnąć cel zerowej emisji dwutlenku węgla netto do 2045 r. Obroty w 2025 r.: 71,9 mld euro. Grupa jest notowana na giełdach w Paryżu i Brukseli (ENGI) i jest reprezentowana w głównych indeksach finansowych (CAC 40, </w:t>
      </w:r>
      <w:proofErr w:type="spellStart"/>
      <w:r w:rsidRPr="00230BD9">
        <w:rPr>
          <w:color w:val="auto"/>
          <w:lang w:val="pl-PL"/>
        </w:rPr>
        <w:t>Euronext</w:t>
      </w:r>
      <w:proofErr w:type="spellEnd"/>
      <w:r w:rsidRPr="00230BD9">
        <w:rPr>
          <w:color w:val="auto"/>
          <w:lang w:val="pl-PL"/>
        </w:rPr>
        <w:t xml:space="preserve"> 100, FTSE Euro 100, MSCI Europe) oraz indeksach niefinansowych (DJSI World, </w:t>
      </w:r>
      <w:proofErr w:type="spellStart"/>
      <w:r w:rsidRPr="00230BD9">
        <w:rPr>
          <w:color w:val="auto"/>
          <w:lang w:val="pl-PL"/>
        </w:rPr>
        <w:t>Euronext</w:t>
      </w:r>
      <w:proofErr w:type="spellEnd"/>
      <w:r w:rsidRPr="00230BD9">
        <w:rPr>
          <w:color w:val="auto"/>
          <w:lang w:val="pl-PL"/>
        </w:rPr>
        <w:t xml:space="preserve"> </w:t>
      </w:r>
      <w:proofErr w:type="spellStart"/>
      <w:r w:rsidRPr="00230BD9">
        <w:rPr>
          <w:color w:val="auto"/>
          <w:lang w:val="pl-PL"/>
        </w:rPr>
        <w:t>Vigeo</w:t>
      </w:r>
      <w:proofErr w:type="spellEnd"/>
      <w:r w:rsidRPr="00230BD9">
        <w:rPr>
          <w:color w:val="auto"/>
          <w:lang w:val="pl-PL"/>
        </w:rPr>
        <w:t xml:space="preserve"> </w:t>
      </w:r>
      <w:proofErr w:type="spellStart"/>
      <w:r w:rsidRPr="00230BD9">
        <w:rPr>
          <w:color w:val="auto"/>
          <w:lang w:val="pl-PL"/>
        </w:rPr>
        <w:t>Eiris</w:t>
      </w:r>
      <w:proofErr w:type="spellEnd"/>
      <w:r w:rsidRPr="00230BD9">
        <w:rPr>
          <w:color w:val="auto"/>
          <w:lang w:val="pl-PL"/>
        </w:rPr>
        <w:t xml:space="preserve"> - Europe 120 / France 20, MSCI EMU ESG </w:t>
      </w:r>
      <w:proofErr w:type="spellStart"/>
      <w:r w:rsidRPr="00230BD9">
        <w:rPr>
          <w:color w:val="auto"/>
          <w:lang w:val="pl-PL"/>
        </w:rPr>
        <w:t>screened</w:t>
      </w:r>
      <w:proofErr w:type="spellEnd"/>
      <w:r w:rsidRPr="00230BD9">
        <w:rPr>
          <w:color w:val="auto"/>
          <w:lang w:val="pl-PL"/>
        </w:rPr>
        <w:t xml:space="preserve">, MSCI EUROPE ESG Universal Select, </w:t>
      </w:r>
      <w:proofErr w:type="spellStart"/>
      <w:r w:rsidRPr="00230BD9">
        <w:rPr>
          <w:color w:val="auto"/>
          <w:lang w:val="pl-PL"/>
        </w:rPr>
        <w:t>Stoxx</w:t>
      </w:r>
      <w:proofErr w:type="spellEnd"/>
      <w:r w:rsidRPr="00230BD9">
        <w:rPr>
          <w:color w:val="auto"/>
          <w:lang w:val="pl-PL"/>
        </w:rPr>
        <w:t xml:space="preserve"> Europe 600 ESG-X).</w:t>
      </w:r>
    </w:p>
    <w:p w14:paraId="6439EA77" w14:textId="77777777" w:rsidR="00FC3B6B" w:rsidRPr="001A1C14" w:rsidRDefault="00FC3B6B" w:rsidP="00CC7B62">
      <w:pPr>
        <w:pStyle w:val="Textedesaisie"/>
        <w:rPr>
          <w:rFonts w:ascii="Calibri" w:hAnsi="Calibri" w:cs="Calibri"/>
          <w:color w:val="auto"/>
          <w:lang w:val="pl-PL"/>
        </w:rPr>
      </w:pPr>
    </w:p>
    <w:tbl>
      <w:tblPr>
        <w:tblStyle w:val="Tabela-Siatka"/>
        <w:tblW w:w="2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</w:tblGrid>
      <w:tr w:rsidR="00CC7B62" w:rsidRPr="00486946" w14:paraId="798899B1" w14:textId="77777777" w:rsidTr="002A757D">
        <w:tc>
          <w:tcPr>
            <w:tcW w:w="4252" w:type="dxa"/>
          </w:tcPr>
          <w:p w14:paraId="1CE4CEBE" w14:textId="77777777" w:rsidR="00CC7B62" w:rsidRPr="001A1C14" w:rsidRDefault="00CC7B62" w:rsidP="002A757D">
            <w:pPr>
              <w:pStyle w:val="Textecontact"/>
              <w:rPr>
                <w:rStyle w:val="Bold"/>
                <w:rFonts w:ascii="Calibri" w:hAnsi="Calibri" w:cs="Calibri"/>
                <w:lang w:val="pl-PL"/>
              </w:rPr>
            </w:pPr>
            <w:r w:rsidRPr="001A1C14">
              <w:rPr>
                <w:rStyle w:val="Bold"/>
                <w:rFonts w:ascii="Calibri" w:hAnsi="Calibri" w:cs="Calibri"/>
                <w:lang w:val="pl-PL"/>
              </w:rPr>
              <w:t>Kontakt dla mediów:</w:t>
            </w:r>
          </w:p>
          <w:p w14:paraId="10DC1E00" w14:textId="77777777" w:rsidR="00CC7B62" w:rsidRPr="00486946" w:rsidRDefault="00CC7B62" w:rsidP="002A757D">
            <w:pPr>
              <w:pStyle w:val="Textecontact"/>
              <w:rPr>
                <w:rFonts w:ascii="Calibri" w:hAnsi="Calibri" w:cs="Calibri"/>
                <w:lang w:val="pl-PL"/>
              </w:rPr>
            </w:pPr>
            <w:r w:rsidRPr="00486946">
              <w:rPr>
                <w:rFonts w:ascii="Calibri" w:hAnsi="Calibri" w:cs="Calibri"/>
                <w:bCs/>
                <w:lang w:val="pl-PL"/>
              </w:rPr>
              <w:t>Magdalena Jaromińska</w:t>
            </w:r>
          </w:p>
          <w:p w14:paraId="6777AAB5" w14:textId="77777777" w:rsidR="00CC7B62" w:rsidRPr="00486946" w:rsidRDefault="00CC7B62" w:rsidP="002A757D">
            <w:pPr>
              <w:pStyle w:val="Textecontact"/>
              <w:rPr>
                <w:rFonts w:ascii="Calibri" w:hAnsi="Calibri" w:cs="Calibri"/>
                <w:lang w:val="pl-PL"/>
              </w:rPr>
            </w:pPr>
            <w:r w:rsidRPr="00486946">
              <w:rPr>
                <w:rFonts w:ascii="Calibri" w:hAnsi="Calibri" w:cs="Calibri"/>
                <w:lang w:val="pl-PL"/>
              </w:rPr>
              <w:t xml:space="preserve">Chief Communications </w:t>
            </w:r>
            <w:proofErr w:type="spellStart"/>
            <w:r w:rsidRPr="00486946">
              <w:rPr>
                <w:rFonts w:ascii="Calibri" w:hAnsi="Calibri" w:cs="Calibri"/>
                <w:lang w:val="pl-PL"/>
              </w:rPr>
              <w:t>Officer</w:t>
            </w:r>
            <w:proofErr w:type="spellEnd"/>
            <w:r w:rsidRPr="00486946">
              <w:rPr>
                <w:rFonts w:ascii="Calibri" w:hAnsi="Calibri" w:cs="Calibri"/>
                <w:lang w:val="pl-PL"/>
              </w:rPr>
              <w:t>/Kierownik ds. komunikacji</w:t>
            </w:r>
          </w:p>
          <w:p w14:paraId="74DCD13F" w14:textId="77777777" w:rsidR="00CC7B62" w:rsidRPr="00486946" w:rsidRDefault="00CC7B62" w:rsidP="002A757D">
            <w:pPr>
              <w:pStyle w:val="Textecontact"/>
              <w:rPr>
                <w:rFonts w:ascii="Calibri" w:hAnsi="Calibri" w:cs="Calibri"/>
                <w:lang w:val="pl-PL"/>
              </w:rPr>
            </w:pPr>
            <w:r w:rsidRPr="00486946">
              <w:rPr>
                <w:rFonts w:ascii="Calibri" w:hAnsi="Calibri" w:cs="Calibri"/>
                <w:lang w:val="pl-PL"/>
              </w:rPr>
              <w:t>M: +48 604 299 672</w:t>
            </w:r>
            <w:r w:rsidRPr="00486946">
              <w:rPr>
                <w:rFonts w:ascii="Calibri" w:hAnsi="Calibri" w:cs="Calibri"/>
                <w:lang w:val="pl-PL"/>
              </w:rPr>
              <w:br/>
            </w:r>
            <w:hyperlink r:id="rId11" w:tgtFrame="_blank" w:history="1">
              <w:r w:rsidRPr="00486946">
                <w:rPr>
                  <w:rStyle w:val="Hipercze"/>
                  <w:rFonts w:ascii="Calibri" w:hAnsi="Calibri" w:cs="Calibri"/>
                  <w:lang w:val="pl-PL"/>
                </w:rPr>
                <w:t>magdalena.jarominska@engie.com</w:t>
              </w:r>
            </w:hyperlink>
          </w:p>
          <w:p w14:paraId="56544284" w14:textId="77777777" w:rsidR="00CC7B62" w:rsidRPr="00486946" w:rsidRDefault="00CC7B62" w:rsidP="002A757D">
            <w:pPr>
              <w:pStyle w:val="Textecontact"/>
              <w:rPr>
                <w:rFonts w:ascii="Calibri" w:hAnsi="Calibri" w:cs="Calibri"/>
              </w:rPr>
            </w:pPr>
          </w:p>
        </w:tc>
      </w:tr>
    </w:tbl>
    <w:p w14:paraId="087D100B" w14:textId="77777777" w:rsidR="00F92ECA" w:rsidRDefault="00F92ECA" w:rsidP="00CC7B62">
      <w:pPr>
        <w:pStyle w:val="Textedesaisie"/>
        <w:rPr>
          <w:color w:val="auto"/>
        </w:rPr>
      </w:pPr>
    </w:p>
    <w:sectPr w:rsidR="00F92ECA" w:rsidSect="00BA6623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851" w:right="1701" w:bottom="851" w:left="1701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9FB33" w14:textId="77777777" w:rsidR="00E9131A" w:rsidRDefault="00E9131A" w:rsidP="003865B7">
      <w:r>
        <w:separator/>
      </w:r>
    </w:p>
  </w:endnote>
  <w:endnote w:type="continuationSeparator" w:id="0">
    <w:p w14:paraId="72FAB976" w14:textId="77777777" w:rsidR="00E9131A" w:rsidRDefault="00E9131A" w:rsidP="0038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lack">
    <w:charset w:val="00"/>
    <w:family w:val="auto"/>
    <w:pitch w:val="variable"/>
    <w:sig w:usb0="A00000AF" w:usb1="50000048" w:usb2="00000000" w:usb3="00000000" w:csb0="0000011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180"/>
      <w:gridCol w:w="540"/>
      <w:gridCol w:w="584"/>
    </w:tblGrid>
    <w:tr w:rsidR="00B63ACD" w14:paraId="3115491C" w14:textId="77777777" w:rsidTr="00B63ACD">
      <w:trPr>
        <w:trHeight w:hRule="exact" w:val="142"/>
      </w:trPr>
      <w:tc>
        <w:tcPr>
          <w:tcW w:w="7920" w:type="dxa"/>
          <w:gridSpan w:val="3"/>
          <w:tcBorders>
            <w:bottom w:val="single" w:sz="4" w:space="0" w:color="00817D" w:themeColor="accent3"/>
          </w:tcBorders>
          <w:vAlign w:val="bottom"/>
        </w:tcPr>
        <w:p w14:paraId="3D9B3195" w14:textId="77777777" w:rsidR="00B63ACD" w:rsidRPr="00585399" w:rsidRDefault="00B63ACD" w:rsidP="00585399">
          <w:pPr>
            <w:pStyle w:val="Stopka"/>
            <w:jc w:val="right"/>
            <w:rPr>
              <w:sz w:val="18"/>
              <w:szCs w:val="18"/>
            </w:rPr>
          </w:pPr>
        </w:p>
      </w:tc>
      <w:tc>
        <w:tcPr>
          <w:tcW w:w="584" w:type="dxa"/>
          <w:vMerge w:val="restart"/>
          <w:vAlign w:val="center"/>
        </w:tcPr>
        <w:p w14:paraId="05C9FDAB" w14:textId="0E17FA00" w:rsidR="00B63ACD" w:rsidRPr="00585399" w:rsidRDefault="00B63ACD" w:rsidP="000A1580">
          <w:pPr>
            <w:pStyle w:val="Stopka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 \* Arabic  \* MERGEFORMAT </w:instrText>
          </w:r>
          <w:r>
            <w:rPr>
              <w:sz w:val="18"/>
              <w:szCs w:val="18"/>
            </w:rPr>
            <w:fldChar w:fldCharType="separate"/>
          </w:r>
          <w:r w:rsidR="00F8433A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  <w:tr w:rsidR="00B63ACD" w14:paraId="27D24474" w14:textId="77777777" w:rsidTr="00B63ACD">
      <w:trPr>
        <w:trHeight w:hRule="exact" w:val="142"/>
      </w:trPr>
      <w:tc>
        <w:tcPr>
          <w:tcW w:w="7920" w:type="dxa"/>
          <w:gridSpan w:val="3"/>
          <w:tcBorders>
            <w:top w:val="single" w:sz="4" w:space="0" w:color="00817D" w:themeColor="accent3"/>
          </w:tcBorders>
          <w:vAlign w:val="bottom"/>
        </w:tcPr>
        <w:p w14:paraId="18A295A9" w14:textId="77777777" w:rsidR="00B63ACD" w:rsidRPr="00585399" w:rsidRDefault="00B63ACD" w:rsidP="00585399">
          <w:pPr>
            <w:pStyle w:val="Stopka"/>
            <w:jc w:val="right"/>
            <w:rPr>
              <w:sz w:val="18"/>
              <w:szCs w:val="18"/>
            </w:rPr>
          </w:pPr>
        </w:p>
      </w:tc>
      <w:tc>
        <w:tcPr>
          <w:tcW w:w="584" w:type="dxa"/>
          <w:vMerge/>
          <w:vAlign w:val="bottom"/>
        </w:tcPr>
        <w:p w14:paraId="305429BF" w14:textId="77777777" w:rsidR="00B63ACD" w:rsidRPr="00585399" w:rsidRDefault="00B63ACD" w:rsidP="00585399">
          <w:pPr>
            <w:pStyle w:val="Stopka"/>
            <w:jc w:val="right"/>
            <w:rPr>
              <w:sz w:val="18"/>
              <w:szCs w:val="18"/>
            </w:rPr>
          </w:pPr>
        </w:p>
      </w:tc>
    </w:tr>
    <w:tr w:rsidR="00B63ACD" w14:paraId="3451E0E3" w14:textId="77777777" w:rsidTr="0046543F">
      <w:tc>
        <w:tcPr>
          <w:tcW w:w="7200" w:type="dxa"/>
          <w:vAlign w:val="bottom"/>
        </w:tcPr>
        <w:p w14:paraId="4898D53B" w14:textId="77777777" w:rsidR="00B63ACD" w:rsidRPr="0046543F" w:rsidRDefault="00B63ACD" w:rsidP="0046543F">
          <w:pPr>
            <w:pStyle w:val="Adressepieddepage"/>
            <w:rPr>
              <w:color w:val="84A0AF"/>
            </w:rPr>
          </w:pPr>
          <w:r w:rsidRPr="0046543F">
            <w:rPr>
              <w:color w:val="84A0AF"/>
            </w:rPr>
            <w:t xml:space="preserve">Tour T1 – 1 place Samuel de Champlain – Faubourg de l’Arche - 92930 Paris La Défense cedex – France </w:t>
          </w:r>
        </w:p>
        <w:p w14:paraId="2A391007" w14:textId="77777777" w:rsidR="00B63ACD" w:rsidRPr="00585399" w:rsidRDefault="00B63ACD" w:rsidP="0046543F">
          <w:pPr>
            <w:pStyle w:val="Adressepieddepage"/>
          </w:pPr>
          <w:r w:rsidRPr="0046543F">
            <w:rPr>
              <w:color w:val="84A0AF"/>
            </w:rPr>
            <w:t>ENGIE – SA AU CAPITAL DE 2 435 285 011 EUROS – RCS NANTERRE 542 107 651 - Tél. : +33 (0)1 44 22 00 00</w:t>
          </w:r>
        </w:p>
      </w:tc>
      <w:tc>
        <w:tcPr>
          <w:tcW w:w="180" w:type="dxa"/>
          <w:vMerge w:val="restart"/>
        </w:tcPr>
        <w:p w14:paraId="6A289CFB" w14:textId="77777777" w:rsidR="00B63ACD" w:rsidRDefault="00B63ACD" w:rsidP="00585399">
          <w:pPr>
            <w:pStyle w:val="Stopka"/>
          </w:pPr>
        </w:p>
      </w:tc>
      <w:tc>
        <w:tcPr>
          <w:tcW w:w="1124" w:type="dxa"/>
          <w:gridSpan w:val="2"/>
          <w:vMerge w:val="restart"/>
          <w:vAlign w:val="bottom"/>
        </w:tcPr>
        <w:p w14:paraId="331B2B1E" w14:textId="77777777" w:rsidR="00B63ACD" w:rsidRPr="00B63ACD" w:rsidRDefault="00B63ACD" w:rsidP="00B63ACD">
          <w:pPr>
            <w:pStyle w:val="Texteadresseinternet"/>
          </w:pPr>
          <w:r w:rsidRPr="00B63ACD">
            <w:t>engie.com</w:t>
          </w:r>
        </w:p>
      </w:tc>
    </w:tr>
    <w:tr w:rsidR="00B63ACD" w14:paraId="7A6C0374" w14:textId="77777777" w:rsidTr="0046543F">
      <w:trPr>
        <w:trHeight w:hRule="exact" w:val="85"/>
      </w:trPr>
      <w:tc>
        <w:tcPr>
          <w:tcW w:w="7200" w:type="dxa"/>
          <w:vAlign w:val="bottom"/>
        </w:tcPr>
        <w:p w14:paraId="442D26C7" w14:textId="77777777" w:rsidR="00B63ACD" w:rsidRPr="009705F1" w:rsidRDefault="00B63ACD" w:rsidP="00585399">
          <w:pPr>
            <w:pStyle w:val="Stopka"/>
            <w:spacing w:line="180" w:lineRule="atLeast"/>
            <w:rPr>
              <w:sz w:val="14"/>
              <w:szCs w:val="14"/>
            </w:rPr>
          </w:pPr>
        </w:p>
      </w:tc>
      <w:tc>
        <w:tcPr>
          <w:tcW w:w="180" w:type="dxa"/>
          <w:vMerge/>
        </w:tcPr>
        <w:p w14:paraId="1335709F" w14:textId="77777777" w:rsidR="00B63ACD" w:rsidRDefault="00B63ACD" w:rsidP="00585399">
          <w:pPr>
            <w:pStyle w:val="Stopka"/>
          </w:pPr>
        </w:p>
      </w:tc>
      <w:tc>
        <w:tcPr>
          <w:tcW w:w="1124" w:type="dxa"/>
          <w:gridSpan w:val="2"/>
          <w:vMerge/>
          <w:vAlign w:val="bottom"/>
        </w:tcPr>
        <w:p w14:paraId="042E2C74" w14:textId="77777777" w:rsidR="00B63ACD" w:rsidRPr="00585399" w:rsidRDefault="00B63ACD" w:rsidP="00585399">
          <w:pPr>
            <w:pStyle w:val="Stopka"/>
            <w:jc w:val="right"/>
            <w:rPr>
              <w:sz w:val="18"/>
              <w:szCs w:val="18"/>
            </w:rPr>
          </w:pPr>
        </w:p>
      </w:tc>
    </w:tr>
  </w:tbl>
  <w:p w14:paraId="1CCD6484" w14:textId="77777777" w:rsidR="00B63ACD" w:rsidRPr="00585399" w:rsidRDefault="00B63ACD" w:rsidP="005853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9DF39" w14:textId="77777777" w:rsidR="00E9131A" w:rsidRDefault="00E9131A" w:rsidP="003865B7">
      <w:r>
        <w:separator/>
      </w:r>
    </w:p>
  </w:footnote>
  <w:footnote w:type="continuationSeparator" w:id="0">
    <w:p w14:paraId="4872BA10" w14:textId="77777777" w:rsidR="00E9131A" w:rsidRDefault="00E9131A" w:rsidP="003865B7">
      <w:r>
        <w:continuationSeparator/>
      </w:r>
    </w:p>
  </w:footnote>
  <w:footnote w:id="1">
    <w:p w14:paraId="54DF3DD7" w14:textId="77777777" w:rsidR="003E3941" w:rsidRPr="003E3941" w:rsidRDefault="003E394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16C8D">
        <w:rPr>
          <w:lang w:val="pl-PL"/>
        </w:rPr>
        <w:t xml:space="preserve"> </w:t>
      </w:r>
      <w:hyperlink r:id="rId1" w:history="1">
        <w:r w:rsidRPr="00716C8D">
          <w:rPr>
            <w:rStyle w:val="Hipercze"/>
            <w:lang w:val="pl-PL"/>
          </w:rPr>
          <w:t>Transformacja ciepłownictwa w Polsce. Edycja 2025 - Forum Energii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32CE9" w14:textId="77777777" w:rsidR="00B63ACD" w:rsidRDefault="00FC3B6B" w:rsidP="003C7C34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2BC706CF" wp14:editId="0D5CEBB3">
          <wp:simplePos x="0" y="0"/>
          <wp:positionH relativeFrom="margin">
            <wp:align>center</wp:align>
          </wp:positionH>
          <wp:positionV relativeFrom="paragraph">
            <wp:posOffset>-102870</wp:posOffset>
          </wp:positionV>
          <wp:extent cx="2143125" cy="990600"/>
          <wp:effectExtent l="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800x800px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31" b="26050"/>
                  <a:stretch/>
                </pic:blipFill>
                <pic:spPr bwMode="auto">
                  <a:xfrm>
                    <a:off x="0" y="0"/>
                    <a:ext cx="2143125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9ED563" w14:textId="77777777" w:rsidR="00B63ACD" w:rsidRPr="00A47F4D" w:rsidRDefault="00B63ACD" w:rsidP="00A47F4D">
    <w:pPr>
      <w:pStyle w:val="Nagwek"/>
    </w:pPr>
  </w:p>
  <w:p w14:paraId="1B6D22CA" w14:textId="77777777" w:rsidR="00B63ACD" w:rsidRPr="00A47F4D" w:rsidRDefault="00B63ACD" w:rsidP="00A47F4D">
    <w:pPr>
      <w:pStyle w:val="Nagwek"/>
    </w:pPr>
  </w:p>
  <w:p w14:paraId="44DC6178" w14:textId="77777777" w:rsidR="00B63ACD" w:rsidRPr="00A47F4D" w:rsidRDefault="00B63ACD" w:rsidP="00A47F4D">
    <w:pPr>
      <w:pStyle w:val="Nagwek"/>
    </w:pPr>
  </w:p>
  <w:p w14:paraId="55941A60" w14:textId="77777777" w:rsidR="00B63ACD" w:rsidRPr="00A47F4D" w:rsidRDefault="00B63ACD" w:rsidP="00A47F4D">
    <w:pPr>
      <w:pStyle w:val="Nagwek"/>
    </w:pPr>
  </w:p>
  <w:p w14:paraId="2DC4B04A" w14:textId="77777777" w:rsidR="00B63ACD" w:rsidRPr="00A47F4D" w:rsidRDefault="00B63ACD" w:rsidP="00A47F4D">
    <w:pPr>
      <w:pStyle w:val="Nagwek"/>
    </w:pPr>
  </w:p>
  <w:p w14:paraId="6DABD16F" w14:textId="77777777" w:rsidR="00B63ACD" w:rsidRPr="00A47F4D" w:rsidRDefault="00B63ACD" w:rsidP="00FA024F">
    <w:pPr>
      <w:pStyle w:val="Nagwek"/>
      <w:spacing w:line="27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2AD3C" w14:textId="77777777" w:rsidR="00B63ACD" w:rsidRDefault="00B63ACD">
    <w:pPr>
      <w:pStyle w:val="Nagwek"/>
    </w:pPr>
  </w:p>
  <w:p w14:paraId="69ECABD7" w14:textId="77777777" w:rsidR="00B63ACD" w:rsidRDefault="00B63ACD">
    <w:pPr>
      <w:pStyle w:val="Nagwek"/>
    </w:pPr>
  </w:p>
  <w:p w14:paraId="3789372A" w14:textId="77777777" w:rsidR="00B63ACD" w:rsidRDefault="00B63ACD">
    <w:pPr>
      <w:pStyle w:val="Nagwek"/>
    </w:pPr>
  </w:p>
  <w:p w14:paraId="26161ADB" w14:textId="77777777" w:rsidR="00B63ACD" w:rsidRDefault="00B63ACD">
    <w:pPr>
      <w:pStyle w:val="Nagwek"/>
    </w:pPr>
  </w:p>
  <w:p w14:paraId="3910F9CF" w14:textId="77777777" w:rsidR="00B63ACD" w:rsidRDefault="00B63ACD">
    <w:pPr>
      <w:pStyle w:val="Nagwek"/>
    </w:pPr>
  </w:p>
  <w:p w14:paraId="5B4C4128" w14:textId="77777777" w:rsidR="00B63ACD" w:rsidRDefault="00B63ACD">
    <w:pPr>
      <w:pStyle w:val="Nagwek"/>
    </w:pPr>
  </w:p>
  <w:p w14:paraId="176C75E6" w14:textId="77777777" w:rsidR="00B63ACD" w:rsidRDefault="00B63ACD">
    <w:pPr>
      <w:pStyle w:val="Nagwek"/>
    </w:pPr>
  </w:p>
  <w:p w14:paraId="36F3AE47" w14:textId="77777777" w:rsidR="00B63ACD" w:rsidRPr="00F7646B" w:rsidRDefault="00B63ACD" w:rsidP="00DB38D1">
    <w:pPr>
      <w:pStyle w:val="Nagwek"/>
      <w:spacing w:line="27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1D4A9F"/>
    <w:multiLevelType w:val="hybridMultilevel"/>
    <w:tmpl w:val="F280B2FE"/>
    <w:lvl w:ilvl="0" w:tplc="237226DC">
      <w:start w:val="1"/>
      <w:numFmt w:val="bullet"/>
      <w:lvlText w:val="–"/>
      <w:lvlJc w:val="left"/>
      <w:pPr>
        <w:ind w:left="720" w:hanging="360"/>
      </w:pPr>
      <w:rPr>
        <w:rFonts w:ascii="Gotham Black" w:hAnsi="Gotham Black" w:hint="default"/>
        <w:caps w:val="0"/>
        <w:strike w:val="0"/>
        <w:dstrike w:val="0"/>
        <w:vanish w:val="0"/>
        <w:sz w:val="4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C366D"/>
    <w:multiLevelType w:val="hybridMultilevel"/>
    <w:tmpl w:val="A08C9E06"/>
    <w:lvl w:ilvl="0" w:tplc="9DC629C2">
      <w:start w:val="1"/>
      <w:numFmt w:val="bullet"/>
      <w:lvlText w:val="–"/>
      <w:lvlJc w:val="left"/>
      <w:pPr>
        <w:ind w:left="720" w:hanging="360"/>
      </w:pPr>
      <w:rPr>
        <w:rFonts w:asciiTheme="majorHAnsi" w:hAnsiTheme="majorHAnsi" w:hint="default"/>
        <w:caps w:val="0"/>
        <w:strike w:val="0"/>
        <w:dstrike w:val="0"/>
        <w:vanish w:val="0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B5EF3"/>
    <w:multiLevelType w:val="hybridMultilevel"/>
    <w:tmpl w:val="D4DA5AFE"/>
    <w:lvl w:ilvl="0" w:tplc="7B62D2AC">
      <w:start w:val="1"/>
      <w:numFmt w:val="bullet"/>
      <w:lvlText w:val="–"/>
      <w:lvlJc w:val="left"/>
      <w:pPr>
        <w:ind w:left="720" w:hanging="360"/>
      </w:pPr>
      <w:rPr>
        <w:rFonts w:ascii="Gotham Black" w:hAnsi="Gotham Black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1460F"/>
    <w:multiLevelType w:val="hybridMultilevel"/>
    <w:tmpl w:val="D0F28BBC"/>
    <w:lvl w:ilvl="0" w:tplc="9FC28624">
      <w:start w:val="1"/>
      <w:numFmt w:val="bullet"/>
      <w:lvlText w:val="–"/>
      <w:lvlJc w:val="left"/>
      <w:pPr>
        <w:ind w:left="720" w:hanging="360"/>
      </w:pPr>
      <w:rPr>
        <w:rFonts w:ascii="Gotham Black" w:hAnsi="Gotham Blac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94287"/>
    <w:multiLevelType w:val="hybridMultilevel"/>
    <w:tmpl w:val="E8DCEFBA"/>
    <w:lvl w:ilvl="0" w:tplc="33CC7510">
      <w:start w:val="1"/>
      <w:numFmt w:val="bullet"/>
      <w:pStyle w:val="Textepuce"/>
      <w:lvlText w:val="–"/>
      <w:lvlJc w:val="left"/>
      <w:pPr>
        <w:ind w:left="700" w:hanging="360"/>
      </w:pPr>
      <w:rPr>
        <w:rFonts w:asciiTheme="majorHAnsi" w:hAnsiTheme="majorHAnsi" w:cs="Times New Roman" w:hint="default"/>
        <w:caps w:val="0"/>
        <w:strike w:val="0"/>
        <w:dstrike w:val="0"/>
        <w:vanish w:val="0"/>
        <w:color w:val="00AAFF" w:themeColor="accent2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B62"/>
    <w:rsid w:val="00004D5E"/>
    <w:rsid w:val="000126F7"/>
    <w:rsid w:val="00016461"/>
    <w:rsid w:val="00040852"/>
    <w:rsid w:val="0005751F"/>
    <w:rsid w:val="00077FC6"/>
    <w:rsid w:val="00081A29"/>
    <w:rsid w:val="00096706"/>
    <w:rsid w:val="000A1580"/>
    <w:rsid w:val="000B6555"/>
    <w:rsid w:val="000C2302"/>
    <w:rsid w:val="000C711B"/>
    <w:rsid w:val="000F02A0"/>
    <w:rsid w:val="001064AF"/>
    <w:rsid w:val="001213BB"/>
    <w:rsid w:val="0018517C"/>
    <w:rsid w:val="0019101F"/>
    <w:rsid w:val="001960F0"/>
    <w:rsid w:val="001A0732"/>
    <w:rsid w:val="001C3672"/>
    <w:rsid w:val="001F5ED4"/>
    <w:rsid w:val="0020175C"/>
    <w:rsid w:val="002019AB"/>
    <w:rsid w:val="002B5640"/>
    <w:rsid w:val="002D2268"/>
    <w:rsid w:val="002D7673"/>
    <w:rsid w:val="002F7012"/>
    <w:rsid w:val="003076F7"/>
    <w:rsid w:val="003169FA"/>
    <w:rsid w:val="00317240"/>
    <w:rsid w:val="00320ABE"/>
    <w:rsid w:val="003424FF"/>
    <w:rsid w:val="00353E47"/>
    <w:rsid w:val="003633EA"/>
    <w:rsid w:val="0036517B"/>
    <w:rsid w:val="0037405C"/>
    <w:rsid w:val="00386092"/>
    <w:rsid w:val="003865B7"/>
    <w:rsid w:val="00396690"/>
    <w:rsid w:val="003C1479"/>
    <w:rsid w:val="003C7C34"/>
    <w:rsid w:val="003E1D19"/>
    <w:rsid w:val="003E3941"/>
    <w:rsid w:val="00412F8C"/>
    <w:rsid w:val="004245BC"/>
    <w:rsid w:val="00431335"/>
    <w:rsid w:val="0046543F"/>
    <w:rsid w:val="00471F4E"/>
    <w:rsid w:val="004A5B61"/>
    <w:rsid w:val="004E5EE3"/>
    <w:rsid w:val="004F135C"/>
    <w:rsid w:val="005232F9"/>
    <w:rsid w:val="00550AF2"/>
    <w:rsid w:val="00562B4F"/>
    <w:rsid w:val="00585399"/>
    <w:rsid w:val="00633F2B"/>
    <w:rsid w:val="00693B48"/>
    <w:rsid w:val="00702726"/>
    <w:rsid w:val="00706E83"/>
    <w:rsid w:val="00714945"/>
    <w:rsid w:val="00716C8D"/>
    <w:rsid w:val="007217E1"/>
    <w:rsid w:val="007310D3"/>
    <w:rsid w:val="00736B6E"/>
    <w:rsid w:val="00747F71"/>
    <w:rsid w:val="0078427B"/>
    <w:rsid w:val="00792140"/>
    <w:rsid w:val="0079798F"/>
    <w:rsid w:val="007A4D69"/>
    <w:rsid w:val="007A7866"/>
    <w:rsid w:val="007C37A0"/>
    <w:rsid w:val="007C4C11"/>
    <w:rsid w:val="00805EE0"/>
    <w:rsid w:val="00814DE8"/>
    <w:rsid w:val="00817193"/>
    <w:rsid w:val="00832511"/>
    <w:rsid w:val="00840603"/>
    <w:rsid w:val="0084231F"/>
    <w:rsid w:val="00851EAB"/>
    <w:rsid w:val="008C0B76"/>
    <w:rsid w:val="008D1132"/>
    <w:rsid w:val="008D2D5E"/>
    <w:rsid w:val="00912DAB"/>
    <w:rsid w:val="00926547"/>
    <w:rsid w:val="00963DCC"/>
    <w:rsid w:val="009705F1"/>
    <w:rsid w:val="00971591"/>
    <w:rsid w:val="0097162D"/>
    <w:rsid w:val="009764FA"/>
    <w:rsid w:val="009E760D"/>
    <w:rsid w:val="00A17125"/>
    <w:rsid w:val="00A47F4D"/>
    <w:rsid w:val="00A63F44"/>
    <w:rsid w:val="00A70313"/>
    <w:rsid w:val="00A80E77"/>
    <w:rsid w:val="00AA37CD"/>
    <w:rsid w:val="00AC78D1"/>
    <w:rsid w:val="00B2510E"/>
    <w:rsid w:val="00B63ACD"/>
    <w:rsid w:val="00B63B08"/>
    <w:rsid w:val="00B75B31"/>
    <w:rsid w:val="00B77598"/>
    <w:rsid w:val="00B912A9"/>
    <w:rsid w:val="00B92074"/>
    <w:rsid w:val="00BA4C79"/>
    <w:rsid w:val="00BA6623"/>
    <w:rsid w:val="00BB3742"/>
    <w:rsid w:val="00BF3B17"/>
    <w:rsid w:val="00C23EDE"/>
    <w:rsid w:val="00C31EFC"/>
    <w:rsid w:val="00C44254"/>
    <w:rsid w:val="00C50A23"/>
    <w:rsid w:val="00C541D4"/>
    <w:rsid w:val="00C555E5"/>
    <w:rsid w:val="00C5716E"/>
    <w:rsid w:val="00C86EEF"/>
    <w:rsid w:val="00CA6106"/>
    <w:rsid w:val="00CC7B62"/>
    <w:rsid w:val="00D04ECD"/>
    <w:rsid w:val="00D340DB"/>
    <w:rsid w:val="00D77BC7"/>
    <w:rsid w:val="00D828E7"/>
    <w:rsid w:val="00DB0CA2"/>
    <w:rsid w:val="00DB38D1"/>
    <w:rsid w:val="00DC12FD"/>
    <w:rsid w:val="00DC29DB"/>
    <w:rsid w:val="00DD2712"/>
    <w:rsid w:val="00DE1589"/>
    <w:rsid w:val="00DE69E5"/>
    <w:rsid w:val="00DF4C32"/>
    <w:rsid w:val="00E22EE3"/>
    <w:rsid w:val="00E2384F"/>
    <w:rsid w:val="00E34CFC"/>
    <w:rsid w:val="00E52CFC"/>
    <w:rsid w:val="00E60415"/>
    <w:rsid w:val="00E9131A"/>
    <w:rsid w:val="00E97EF5"/>
    <w:rsid w:val="00EB5D74"/>
    <w:rsid w:val="00EB73C0"/>
    <w:rsid w:val="00EC319F"/>
    <w:rsid w:val="00ED3BC4"/>
    <w:rsid w:val="00F45E8D"/>
    <w:rsid w:val="00F47D26"/>
    <w:rsid w:val="00F51D4C"/>
    <w:rsid w:val="00F6260C"/>
    <w:rsid w:val="00F7646B"/>
    <w:rsid w:val="00F80A72"/>
    <w:rsid w:val="00F83575"/>
    <w:rsid w:val="00F8433A"/>
    <w:rsid w:val="00F92ECA"/>
    <w:rsid w:val="00F969B2"/>
    <w:rsid w:val="00FA024F"/>
    <w:rsid w:val="00FA5622"/>
    <w:rsid w:val="00FC3B6B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BD9A9"/>
  <w15:docId w15:val="{B038F019-60A3-4683-A1DD-D67CC6F0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ECA"/>
    <w:pPr>
      <w:spacing w:after="0" w:line="240" w:lineRule="atLeast"/>
    </w:pPr>
    <w:rPr>
      <w:color w:val="67AE6E" w:themeColor="background2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1132"/>
    <w:pPr>
      <w:keepNext/>
      <w:keepLines/>
      <w:spacing w:line="432" w:lineRule="exact"/>
      <w:jc w:val="center"/>
      <w:outlineLvl w:val="0"/>
    </w:pPr>
    <w:rPr>
      <w:rFonts w:asciiTheme="majorHAnsi" w:eastAsiaTheme="majorEastAsia" w:hAnsiTheme="majorHAnsi" w:cstheme="majorBidi"/>
      <w:bCs/>
      <w:color w:val="00AAFF" w:themeColor="accent2"/>
      <w:sz w:val="36"/>
      <w:szCs w:val="36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1851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122F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link w:val="NagwekZnak"/>
    <w:uiPriority w:val="99"/>
    <w:unhideWhenUsed/>
    <w:rsid w:val="002019AB"/>
    <w:pPr>
      <w:spacing w:after="0" w:line="240" w:lineRule="exact"/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2019AB"/>
    <w:rPr>
      <w:sz w:val="20"/>
    </w:rPr>
  </w:style>
  <w:style w:type="paragraph" w:styleId="Stopka">
    <w:name w:val="footer"/>
    <w:link w:val="StopkaZnak"/>
    <w:uiPriority w:val="99"/>
    <w:unhideWhenUsed/>
    <w:rsid w:val="003C7C34"/>
    <w:pPr>
      <w:spacing w:after="0" w:line="240" w:lineRule="exact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3C7C34"/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6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69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D1132"/>
    <w:rPr>
      <w:rFonts w:asciiTheme="majorHAnsi" w:eastAsiaTheme="majorEastAsia" w:hAnsiTheme="majorHAnsi" w:cstheme="majorBidi"/>
      <w:bCs/>
      <w:color w:val="00AAFF" w:themeColor="accent2"/>
      <w:sz w:val="36"/>
      <w:szCs w:val="36"/>
      <w:lang w:val="en-US"/>
    </w:rPr>
  </w:style>
  <w:style w:type="table" w:styleId="Tabela-Siatka">
    <w:name w:val="Table Grid"/>
    <w:basedOn w:val="Standardowy"/>
    <w:uiPriority w:val="59"/>
    <w:rsid w:val="000C2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postale">
    <w:name w:val="Adresse postale"/>
    <w:basedOn w:val="Normalny"/>
    <w:semiHidden/>
    <w:rsid w:val="00317240"/>
    <w:pPr>
      <w:spacing w:line="200" w:lineRule="atLeast"/>
    </w:pPr>
    <w:rPr>
      <w:color w:val="F4C867" w:themeColor="text2"/>
      <w:sz w:val="16"/>
      <w:szCs w:val="17"/>
    </w:rPr>
  </w:style>
  <w:style w:type="paragraph" w:customStyle="1" w:styleId="Adresseinternet">
    <w:name w:val="Adresse internet"/>
    <w:basedOn w:val="Adressepostale"/>
    <w:semiHidden/>
    <w:rsid w:val="00317240"/>
    <w:pPr>
      <w:framePr w:hSpace="142" w:wrap="around" w:hAnchor="margin" w:yAlign="bottom"/>
      <w:suppressOverlap/>
      <w:jc w:val="right"/>
    </w:pPr>
    <w:rPr>
      <w:color w:val="17255F" w:themeColor="accent1"/>
      <w:sz w:val="17"/>
    </w:rPr>
  </w:style>
  <w:style w:type="paragraph" w:customStyle="1" w:styleId="Adressesocit">
    <w:name w:val="Adresse société"/>
    <w:basedOn w:val="Adressepostale"/>
    <w:semiHidden/>
    <w:rsid w:val="00317240"/>
    <w:pPr>
      <w:framePr w:hSpace="142" w:wrap="around" w:hAnchor="margin" w:yAlign="bottom"/>
      <w:suppressOverlap/>
    </w:pPr>
    <w:rPr>
      <w:sz w:val="17"/>
    </w:rPr>
  </w:style>
  <w:style w:type="paragraph" w:customStyle="1" w:styleId="Numrodetlphone">
    <w:name w:val="Numéro de téléphone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CapitalRCS">
    <w:name w:val="Capital RCS"/>
    <w:basedOn w:val="Adressepostale"/>
    <w:semiHidden/>
    <w:rsid w:val="002D2268"/>
    <w:pPr>
      <w:framePr w:hSpace="142" w:wrap="around" w:hAnchor="margin" w:yAlign="bottom"/>
      <w:suppressOverlap/>
    </w:pPr>
  </w:style>
  <w:style w:type="paragraph" w:customStyle="1" w:styleId="Intitul">
    <w:name w:val="Intitulé"/>
    <w:basedOn w:val="Normalny"/>
    <w:qFormat/>
    <w:rsid w:val="008D1132"/>
    <w:pPr>
      <w:jc w:val="right"/>
    </w:pPr>
    <w:rPr>
      <w:color w:val="17255F" w:themeColor="accent1"/>
      <w:sz w:val="28"/>
      <w:szCs w:val="28"/>
    </w:rPr>
  </w:style>
  <w:style w:type="paragraph" w:customStyle="1" w:styleId="Textepuce">
    <w:name w:val="Texte puce"/>
    <w:basedOn w:val="Textedesaisie"/>
    <w:qFormat/>
    <w:rsid w:val="00714945"/>
    <w:pPr>
      <w:numPr>
        <w:numId w:val="15"/>
      </w:numPr>
      <w:ind w:left="680" w:hanging="340"/>
    </w:pPr>
  </w:style>
  <w:style w:type="paragraph" w:customStyle="1" w:styleId="Texteadresseinternet">
    <w:name w:val="Texte adresse internet"/>
    <w:basedOn w:val="Stopka"/>
    <w:qFormat/>
    <w:rsid w:val="00B63ACD"/>
    <w:pPr>
      <w:jc w:val="right"/>
    </w:pPr>
    <w:rPr>
      <w:color w:val="00817D" w:themeColor="accent3"/>
      <w:sz w:val="18"/>
      <w:szCs w:val="18"/>
    </w:rPr>
  </w:style>
  <w:style w:type="paragraph" w:customStyle="1" w:styleId="Adressepieddepage">
    <w:name w:val="Adresse pied de page"/>
    <w:basedOn w:val="Stopka"/>
    <w:qFormat/>
    <w:rsid w:val="00BA6623"/>
    <w:pPr>
      <w:spacing w:line="180" w:lineRule="atLeast"/>
    </w:pPr>
    <w:rPr>
      <w:color w:val="00817D" w:themeColor="accent3"/>
      <w:sz w:val="14"/>
      <w:szCs w:val="14"/>
    </w:rPr>
  </w:style>
  <w:style w:type="character" w:customStyle="1" w:styleId="Bold">
    <w:name w:val="Bold"/>
    <w:basedOn w:val="Domylnaczcionkaakapitu"/>
    <w:uiPriority w:val="1"/>
    <w:qFormat/>
    <w:rsid w:val="0078427B"/>
    <w:rPr>
      <w:rFonts w:cs="Times New Roman"/>
      <w:b/>
      <w:lang w:val="en-US" w:eastAsia="x-none"/>
    </w:rPr>
  </w:style>
  <w:style w:type="paragraph" w:customStyle="1" w:styleId="Textedesaisie">
    <w:name w:val="Texte de saisie"/>
    <w:basedOn w:val="Normalny"/>
    <w:qFormat/>
    <w:rsid w:val="00562B4F"/>
    <w:pPr>
      <w:jc w:val="both"/>
    </w:pPr>
    <w:rPr>
      <w:color w:val="000000" w:themeColor="text1"/>
    </w:rPr>
  </w:style>
  <w:style w:type="paragraph" w:customStyle="1" w:styleId="Texteintroduction">
    <w:name w:val="Texte introduction"/>
    <w:basedOn w:val="Textedesaisie"/>
    <w:qFormat/>
    <w:rsid w:val="008C0B76"/>
    <w:rPr>
      <w:b/>
      <w:sz w:val="22"/>
    </w:rPr>
  </w:style>
  <w:style w:type="paragraph" w:customStyle="1" w:styleId="Datedudocument">
    <w:name w:val="Date du document"/>
    <w:basedOn w:val="Normalny"/>
    <w:qFormat/>
    <w:rsid w:val="008D1132"/>
    <w:pPr>
      <w:jc w:val="right"/>
    </w:pPr>
    <w:rPr>
      <w:color w:val="17255F" w:themeColor="accent1"/>
      <w:sz w:val="28"/>
      <w:szCs w:val="28"/>
    </w:rPr>
  </w:style>
  <w:style w:type="character" w:styleId="Hipercze">
    <w:name w:val="Hyperlink"/>
    <w:basedOn w:val="Domylnaczcionkaakapitu"/>
    <w:uiPriority w:val="99"/>
    <w:rsid w:val="008D1132"/>
    <w:rPr>
      <w:color w:val="00AAFF" w:themeColor="accent2"/>
      <w:u w:val="single"/>
    </w:rPr>
  </w:style>
  <w:style w:type="paragraph" w:customStyle="1" w:styleId="Texteapropos">
    <w:name w:val="Texte a propos"/>
    <w:basedOn w:val="Textedesaisie"/>
    <w:qFormat/>
    <w:rsid w:val="00F92ECA"/>
    <w:pPr>
      <w:spacing w:line="216" w:lineRule="atLeast"/>
    </w:pPr>
    <w:rPr>
      <w:color w:val="auto"/>
      <w:sz w:val="18"/>
      <w:szCs w:val="18"/>
    </w:rPr>
  </w:style>
  <w:style w:type="paragraph" w:customStyle="1" w:styleId="Textecontact">
    <w:name w:val="Texte contact"/>
    <w:basedOn w:val="Textedesaisie"/>
    <w:qFormat/>
    <w:rsid w:val="00F92ECA"/>
    <w:pPr>
      <w:spacing w:line="216" w:lineRule="atLeast"/>
      <w:jc w:val="left"/>
    </w:pPr>
    <w:rPr>
      <w:color w:val="auto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C7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EDE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EDE"/>
    <w:rPr>
      <w:color w:val="67AE6E" w:themeColor="background2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3ED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6517B"/>
    <w:rPr>
      <w:color w:val="00000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17C"/>
    <w:rPr>
      <w:rFonts w:asciiTheme="majorHAnsi" w:eastAsiaTheme="majorEastAsia" w:hAnsiTheme="majorHAnsi" w:cstheme="majorBidi"/>
      <w:color w:val="0B122F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B912A9"/>
    <w:pPr>
      <w:spacing w:after="0" w:line="240" w:lineRule="auto"/>
    </w:pPr>
    <w:rPr>
      <w:color w:val="67AE6E" w:themeColor="background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3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gdalena.jarominska@engie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orum-energii.eu/transformacja-cieplownictwa-w-polsce-edycja-2025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j\Downloads\Press%20release%20Template%20(2).dotx" TargetMode="External"/></Relationships>
</file>

<file path=word/theme/theme1.xml><?xml version="1.0" encoding="utf-8"?>
<a:theme xmlns:a="http://schemas.openxmlformats.org/drawingml/2006/main" name="Thème Office">
  <a:themeElements>
    <a:clrScheme name="ENGIE WORD">
      <a:dk1>
        <a:sysClr val="windowText" lastClr="000000"/>
      </a:dk1>
      <a:lt1>
        <a:sysClr val="window" lastClr="FFFFFF"/>
      </a:lt1>
      <a:dk2>
        <a:srgbClr val="F4C867"/>
      </a:dk2>
      <a:lt2>
        <a:srgbClr val="67AE6E"/>
      </a:lt2>
      <a:accent1>
        <a:srgbClr val="17255F"/>
      </a:accent1>
      <a:accent2>
        <a:srgbClr val="00AAFF"/>
      </a:accent2>
      <a:accent3>
        <a:srgbClr val="00817D"/>
      </a:accent3>
      <a:accent4>
        <a:srgbClr val="E18554"/>
      </a:accent4>
      <a:accent5>
        <a:srgbClr val="1D8CBC"/>
      </a:accent5>
      <a:accent6>
        <a:srgbClr val="4BB0B9"/>
      </a:accent6>
      <a:hlink>
        <a:srgbClr val="000000"/>
      </a:hlink>
      <a:folHlink>
        <a:srgbClr val="000000"/>
      </a:folHlink>
    </a:clrScheme>
    <a:fontScheme name="Arial Black -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864A66305124B84547CFADF3393B1" ma:contentTypeVersion="18" ma:contentTypeDescription="Utwórz nowy dokument." ma:contentTypeScope="" ma:versionID="0d04e3d61c3538321b43f824395e0c2f">
  <xsd:schema xmlns:xsd="http://www.w3.org/2001/XMLSchema" xmlns:xs="http://www.w3.org/2001/XMLSchema" xmlns:p="http://schemas.microsoft.com/office/2006/metadata/properties" xmlns:ns2="bf3a0bb6-3cbc-4273-b4c7-68c49266a732" xmlns:ns3="a14c7d9f-0fff-46f9-a15f-99837fb2d147" targetNamespace="http://schemas.microsoft.com/office/2006/metadata/properties" ma:root="true" ma:fieldsID="035454642d2babc8b056769c8f4fee10" ns2:_="" ns3:_="">
    <xsd:import namespace="bf3a0bb6-3cbc-4273-b4c7-68c49266a732"/>
    <xsd:import namespace="a14c7d9f-0fff-46f9-a15f-99837fb2d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a0bb6-3cbc-4273-b4c7-68c49266a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2d165a1-525a-40f4-854e-f4849b077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c7d9f-0fff-46f9-a15f-99837fb2d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f874f7-c578-48d7-8b8b-f47c200483e9}" ma:internalName="TaxCatchAll" ma:showField="CatchAllData" ma:web="a14c7d9f-0fff-46f9-a15f-99837fb2d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a0bb6-3cbc-4273-b4c7-68c49266a732">
      <Terms xmlns="http://schemas.microsoft.com/office/infopath/2007/PartnerControls"/>
    </lcf76f155ced4ddcb4097134ff3c332f>
    <TaxCatchAll xmlns="a14c7d9f-0fff-46f9-a15f-99837fb2d1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E00FE-3F8A-4101-9AA7-C405E5B84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47609B-E891-4CCB-B7B7-B03C66F0B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3a0bb6-3cbc-4273-b4c7-68c49266a732"/>
    <ds:schemaRef ds:uri="a14c7d9f-0fff-46f9-a15f-99837fb2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969931-3C41-47CF-A7DE-5846CA1A3900}">
  <ds:schemaRefs>
    <ds:schemaRef ds:uri="http://schemas.microsoft.com/office/2006/metadata/properties"/>
    <ds:schemaRef ds:uri="http://schemas.microsoft.com/office/infopath/2007/PartnerControls"/>
    <ds:schemaRef ds:uri="bf3a0bb6-3cbc-4273-b4c7-68c49266a732"/>
    <ds:schemaRef ds:uri="a14c7d9f-0fff-46f9-a15f-99837fb2d147"/>
  </ds:schemaRefs>
</ds:datastoreItem>
</file>

<file path=customXml/itemProps4.xml><?xml version="1.0" encoding="utf-8"?>
<ds:datastoreItem xmlns:ds="http://schemas.openxmlformats.org/officeDocument/2006/customXml" ds:itemID="{261A97A0-1B8F-4087-8A5F-23024BC851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 release Template (2)</Template>
  <TotalTime>13</TotalTime>
  <Pages>2</Pages>
  <Words>693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ENGIE</vt:lpstr>
      <vt:lpstr>ENGIE</vt:lpstr>
    </vt:vector>
  </TitlesOfParts>
  <Manager>ENGIE</Manager>
  <Company>ENGIE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ENGIE</dc:title>
  <dc:subject>ENGIE</dc:subject>
  <dc:creator>Alicja Dołęgowska</dc:creator>
  <cp:lastModifiedBy>Alicja Dołęgowska</cp:lastModifiedBy>
  <cp:revision>4</cp:revision>
  <dcterms:created xsi:type="dcterms:W3CDTF">2026-06-10T13:14:00Z</dcterms:created>
  <dcterms:modified xsi:type="dcterms:W3CDTF">2026-06-11T04:51:00Z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0x01010055D864A66305124B84547CFADF3393B1</vt:lpwstr>
  </property>
  <property fmtid="{D5CDD505-2E9C-101B-9397-08002B2CF9AE}" pid="3" name="MediaServiceImageTags">
    <vt:lpwstr/>
  </property>
</Properties>
</file>